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85" w:rsidRPr="007B608F" w:rsidRDefault="00610D85" w:rsidP="00325CE3">
      <w:pPr>
        <w:jc w:val="center"/>
        <w:rPr>
          <w:b/>
          <w:bCs/>
        </w:rPr>
      </w:pPr>
      <w:r w:rsidRPr="007B608F">
        <w:rPr>
          <w:b/>
          <w:bCs/>
        </w:rPr>
        <w:t>IN THE SABWIL HUMAN RIGHTS COURT</w:t>
      </w:r>
    </w:p>
    <w:p w:rsidR="00610D85" w:rsidRPr="007B608F" w:rsidRDefault="00610D85" w:rsidP="00325CE3">
      <w:pPr>
        <w:jc w:val="center"/>
      </w:pPr>
      <w:r w:rsidRPr="007B608F">
        <w:t>(THULAMELA CHAMBERS, SANDTON)</w:t>
      </w:r>
    </w:p>
    <w:p w:rsidR="00610D85" w:rsidRPr="007B608F" w:rsidRDefault="00610D85" w:rsidP="00325CE3">
      <w:pPr>
        <w:jc w:val="center"/>
      </w:pPr>
    </w:p>
    <w:p w:rsidR="00610D85" w:rsidRPr="007B608F" w:rsidRDefault="00610D85" w:rsidP="00325CE3">
      <w:pPr>
        <w:jc w:val="right"/>
      </w:pPr>
      <w:r w:rsidRPr="007B608F">
        <w:t>CASE NO</w:t>
      </w:r>
      <w:r w:rsidRPr="007B608F">
        <w:rPr>
          <w:b/>
          <w:bCs/>
        </w:rPr>
        <w:t>: 1412 / 16</w:t>
      </w:r>
    </w:p>
    <w:p w:rsidR="00610D85" w:rsidRPr="007B608F" w:rsidRDefault="00610D85" w:rsidP="00325CE3">
      <w:pPr>
        <w:rPr>
          <w:i/>
          <w:iCs/>
        </w:rPr>
      </w:pPr>
      <w:r w:rsidRPr="007B608F">
        <w:rPr>
          <w:i/>
          <w:iCs/>
        </w:rPr>
        <w:t>In the matter between:</w:t>
      </w:r>
    </w:p>
    <w:p w:rsidR="00610D85" w:rsidRPr="007B608F" w:rsidRDefault="00610D85" w:rsidP="00325CE3"/>
    <w:p w:rsidR="00610D85" w:rsidRPr="007B608F" w:rsidRDefault="00610D85" w:rsidP="00325CE3">
      <w:pPr>
        <w:pStyle w:val="Parties"/>
        <w:jc w:val="right"/>
        <w:rPr>
          <w:rFonts w:ascii="Times New Roman" w:hAnsi="Times New Roman" w:cs="Times New Roman"/>
        </w:rPr>
      </w:pPr>
      <w:r w:rsidRPr="007B608F">
        <w:rPr>
          <w:rFonts w:ascii="Times New Roman" w:hAnsi="Times New Roman" w:cs="Times New Roman"/>
          <w:b/>
          <w:bCs/>
          <w:u w:val="single"/>
        </w:rPr>
        <w:t>MARKS</w:t>
      </w:r>
      <w:r w:rsidRPr="007B608F">
        <w:rPr>
          <w:rFonts w:ascii="Times New Roman" w:hAnsi="Times New Roman" w:cs="Times New Roman"/>
          <w:b/>
          <w:bCs/>
        </w:rPr>
        <w:t xml:space="preserve">, </w:t>
      </w:r>
      <w:r w:rsidRPr="007B608F">
        <w:rPr>
          <w:rFonts w:ascii="Times New Roman" w:hAnsi="Times New Roman" w:cs="Times New Roman"/>
        </w:rPr>
        <w:t>CHRIS</w:t>
      </w:r>
      <w:r w:rsidRPr="007B608F">
        <w:rPr>
          <w:rFonts w:ascii="Times New Roman" w:hAnsi="Times New Roman" w:cs="Times New Roman"/>
        </w:rPr>
        <w:tab/>
        <w:t>Applicant</w:t>
      </w:r>
    </w:p>
    <w:p w:rsidR="00610D85" w:rsidRPr="007B608F" w:rsidRDefault="00610D85" w:rsidP="00325CE3">
      <w:pPr>
        <w:tabs>
          <w:tab w:val="right" w:pos="9026"/>
        </w:tabs>
      </w:pPr>
    </w:p>
    <w:p w:rsidR="00610D85" w:rsidRPr="007B608F" w:rsidRDefault="00610D85" w:rsidP="00325CE3">
      <w:pPr>
        <w:tabs>
          <w:tab w:val="right" w:pos="9026"/>
        </w:tabs>
      </w:pPr>
      <w:r w:rsidRPr="007B608F">
        <w:t>and</w:t>
      </w:r>
    </w:p>
    <w:p w:rsidR="00610D85" w:rsidRPr="007B608F" w:rsidRDefault="00610D85" w:rsidP="00325CE3">
      <w:pPr>
        <w:tabs>
          <w:tab w:val="right" w:pos="9026"/>
        </w:tabs>
      </w:pPr>
    </w:p>
    <w:p w:rsidR="00610D85" w:rsidRPr="007B608F" w:rsidRDefault="00610D85" w:rsidP="00325CE3">
      <w:pPr>
        <w:pStyle w:val="Parties"/>
        <w:jc w:val="right"/>
        <w:rPr>
          <w:rFonts w:ascii="Times New Roman" w:hAnsi="Times New Roman" w:cs="Times New Roman"/>
        </w:rPr>
      </w:pPr>
      <w:r w:rsidRPr="007B608F">
        <w:rPr>
          <w:rFonts w:ascii="Times New Roman" w:hAnsi="Times New Roman" w:cs="Times New Roman"/>
          <w:b/>
          <w:bCs/>
          <w:u w:val="single"/>
        </w:rPr>
        <w:t>SHABANGU</w:t>
      </w:r>
      <w:r w:rsidRPr="007B608F">
        <w:rPr>
          <w:rFonts w:ascii="Times New Roman" w:hAnsi="Times New Roman" w:cs="Times New Roman"/>
          <w:b/>
          <w:bCs/>
        </w:rPr>
        <w:t xml:space="preserve">, </w:t>
      </w:r>
      <w:r w:rsidRPr="007B608F">
        <w:rPr>
          <w:rFonts w:ascii="Times New Roman" w:hAnsi="Times New Roman" w:cs="Times New Roman"/>
        </w:rPr>
        <w:t>JOYCE</w:t>
      </w:r>
      <w:r w:rsidRPr="007B608F">
        <w:rPr>
          <w:rFonts w:ascii="Times New Roman" w:hAnsi="Times New Roman" w:cs="Times New Roman"/>
        </w:rPr>
        <w:tab/>
        <w:t>Respondent</w:t>
      </w:r>
    </w:p>
    <w:p w:rsidR="00610D85" w:rsidRPr="007B608F" w:rsidRDefault="00610D85" w:rsidP="00325CE3">
      <w:pPr>
        <w:jc w:val="both"/>
      </w:pP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9"/>
      </w:tblGrid>
      <w:tr w:rsidR="00610D85" w:rsidRPr="007B608F" w:rsidTr="007B608F">
        <w:trPr>
          <w:trHeight w:val="754"/>
        </w:trPr>
        <w:tc>
          <w:tcPr>
            <w:tcW w:w="9509" w:type="dxa"/>
            <w:tcBorders>
              <w:left w:val="nil"/>
              <w:right w:val="nil"/>
            </w:tcBorders>
          </w:tcPr>
          <w:p w:rsidR="00610D85" w:rsidRPr="007B608F" w:rsidRDefault="00610D85" w:rsidP="00325CE3">
            <w:pPr>
              <w:jc w:val="center"/>
              <w:rPr>
                <w:b/>
                <w:bCs/>
                <w:caps/>
              </w:rPr>
            </w:pPr>
          </w:p>
          <w:p w:rsidR="00610D85" w:rsidRPr="007B608F" w:rsidRDefault="007B608F" w:rsidP="007B608F">
            <w:pPr>
              <w:jc w:val="center"/>
              <w:rPr>
                <w:b/>
                <w:bCs/>
                <w:caps/>
              </w:rPr>
            </w:pPr>
            <w:r w:rsidRPr="007B608F">
              <w:rPr>
                <w:b/>
                <w:bCs/>
                <w:caps/>
              </w:rPr>
              <w:t>Respondnets heads of Argument</w:t>
            </w:r>
          </w:p>
        </w:tc>
      </w:tr>
    </w:tbl>
    <w:p w:rsidR="00610D85" w:rsidRPr="007B608F" w:rsidRDefault="00610D85" w:rsidP="00325CE3">
      <w:pPr>
        <w:spacing w:line="360" w:lineRule="auto"/>
        <w:jc w:val="both"/>
      </w:pPr>
    </w:p>
    <w:p w:rsidR="00610D85" w:rsidRPr="007B608F" w:rsidRDefault="00610D85" w:rsidP="00325CE3">
      <w:pPr>
        <w:spacing w:line="276" w:lineRule="auto"/>
        <w:rPr>
          <w:b/>
          <w:bCs/>
        </w:rPr>
      </w:pPr>
      <w:r w:rsidRPr="007B608F">
        <w:rPr>
          <w:b/>
          <w:bCs/>
        </w:rPr>
        <w:t>TABLE OF CONTENTS:</w:t>
      </w:r>
    </w:p>
    <w:p w:rsidR="00325CE3" w:rsidRPr="007B608F" w:rsidRDefault="00325CE3" w:rsidP="00325CE3">
      <w:pPr>
        <w:spacing w:line="276" w:lineRule="auto"/>
        <w:rPr>
          <w:bCs/>
        </w:rPr>
      </w:pP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Pr="007B608F">
        <w:rPr>
          <w:b/>
          <w:bCs/>
        </w:rPr>
        <w:tab/>
      </w:r>
      <w:r w:rsidR="007B608F" w:rsidRPr="007B608F">
        <w:rPr>
          <w:bCs/>
        </w:rPr>
        <w:t>Page</w:t>
      </w:r>
      <w:r w:rsidR="007B608F">
        <w:rPr>
          <w:bCs/>
        </w:rPr>
        <w:t>.</w:t>
      </w:r>
    </w:p>
    <w:p w:rsidR="00610D85" w:rsidRPr="007B608F" w:rsidRDefault="00610D85" w:rsidP="007B608F">
      <w:pPr>
        <w:pStyle w:val="ListParagraph"/>
        <w:numPr>
          <w:ilvl w:val="0"/>
          <w:numId w:val="39"/>
        </w:numPr>
        <w:spacing w:before="240" w:after="160" w:line="276" w:lineRule="auto"/>
        <w:rPr>
          <w:bCs/>
        </w:rPr>
      </w:pPr>
      <w:r w:rsidRPr="007B608F">
        <w:rPr>
          <w:bCs/>
        </w:rPr>
        <w:t>Introduction</w:t>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t>1</w:t>
      </w:r>
    </w:p>
    <w:p w:rsidR="00610D85" w:rsidRPr="007B608F" w:rsidRDefault="00610D85" w:rsidP="007B608F">
      <w:pPr>
        <w:pStyle w:val="ListParagraph"/>
        <w:numPr>
          <w:ilvl w:val="0"/>
          <w:numId w:val="39"/>
        </w:numPr>
        <w:spacing w:before="240" w:after="160" w:line="276" w:lineRule="auto"/>
        <w:rPr>
          <w:bCs/>
        </w:rPr>
      </w:pPr>
      <w:r w:rsidRPr="007B608F">
        <w:rPr>
          <w:bCs/>
        </w:rPr>
        <w:t>Background</w:t>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t>1</w:t>
      </w:r>
    </w:p>
    <w:p w:rsidR="00610D85" w:rsidRPr="007B608F" w:rsidRDefault="00610D85" w:rsidP="007B608F">
      <w:pPr>
        <w:pStyle w:val="ListParagraph"/>
        <w:numPr>
          <w:ilvl w:val="0"/>
          <w:numId w:val="39"/>
        </w:numPr>
        <w:spacing w:before="240" w:after="160" w:line="276" w:lineRule="auto"/>
        <w:rPr>
          <w:bCs/>
        </w:rPr>
      </w:pPr>
      <w:r w:rsidRPr="007B608F">
        <w:rPr>
          <w:bCs/>
        </w:rPr>
        <w:t>Arguments</w:t>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t>2</w:t>
      </w:r>
    </w:p>
    <w:p w:rsidR="00726834" w:rsidRPr="007B608F" w:rsidRDefault="00325CE3" w:rsidP="007B608F">
      <w:pPr>
        <w:pStyle w:val="ListParagraph"/>
        <w:numPr>
          <w:ilvl w:val="0"/>
          <w:numId w:val="39"/>
        </w:numPr>
        <w:spacing w:before="240" w:after="160" w:line="276" w:lineRule="auto"/>
        <w:rPr>
          <w:bCs/>
          <w:smallCaps/>
        </w:rPr>
      </w:pPr>
      <w:r w:rsidRPr="007B608F">
        <w:rPr>
          <w:bCs/>
        </w:rPr>
        <w:t xml:space="preserve">Rights of the parties </w:t>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t>3</w:t>
      </w:r>
    </w:p>
    <w:p w:rsidR="00726834" w:rsidRPr="007B608F" w:rsidRDefault="00325CE3" w:rsidP="007B608F">
      <w:pPr>
        <w:pStyle w:val="ListParagraph"/>
        <w:numPr>
          <w:ilvl w:val="0"/>
          <w:numId w:val="39"/>
        </w:numPr>
        <w:spacing w:before="240" w:after="160" w:line="276" w:lineRule="auto"/>
        <w:rPr>
          <w:bCs/>
        </w:rPr>
      </w:pPr>
      <w:r w:rsidRPr="007B608F">
        <w:rPr>
          <w:bCs/>
        </w:rPr>
        <w:t xml:space="preserve">The importance of Freedom of Expression </w:t>
      </w:r>
      <w:r w:rsidRPr="007B608F">
        <w:rPr>
          <w:bCs/>
        </w:rPr>
        <w:tab/>
      </w:r>
      <w:r w:rsidRPr="007B608F">
        <w:rPr>
          <w:bCs/>
        </w:rPr>
        <w:tab/>
      </w:r>
      <w:r w:rsidRPr="007B608F">
        <w:rPr>
          <w:bCs/>
        </w:rPr>
        <w:tab/>
      </w:r>
      <w:r w:rsidRPr="007B608F">
        <w:rPr>
          <w:bCs/>
        </w:rPr>
        <w:tab/>
      </w:r>
      <w:r w:rsidRPr="007B608F">
        <w:rPr>
          <w:bCs/>
        </w:rPr>
        <w:tab/>
        <w:t>3</w:t>
      </w:r>
    </w:p>
    <w:p w:rsidR="00726834" w:rsidRPr="007B608F" w:rsidRDefault="00726834" w:rsidP="007B608F">
      <w:pPr>
        <w:numPr>
          <w:ilvl w:val="0"/>
          <w:numId w:val="39"/>
        </w:numPr>
        <w:spacing w:before="240" w:line="276" w:lineRule="auto"/>
        <w:rPr>
          <w:bCs/>
        </w:rPr>
      </w:pPr>
      <w:r w:rsidRPr="007B608F">
        <w:rPr>
          <w:bCs/>
        </w:rPr>
        <w:t xml:space="preserve">Do </w:t>
      </w:r>
      <w:r w:rsidR="00325CE3" w:rsidRPr="007B608F">
        <w:rPr>
          <w:bCs/>
        </w:rPr>
        <w:t xml:space="preserve">the posts harm the reputation of the applicant </w:t>
      </w:r>
      <w:r w:rsidR="00325CE3" w:rsidRPr="007B608F">
        <w:rPr>
          <w:bCs/>
        </w:rPr>
        <w:tab/>
      </w:r>
      <w:r w:rsidR="00325CE3" w:rsidRPr="007B608F">
        <w:rPr>
          <w:bCs/>
        </w:rPr>
        <w:tab/>
      </w:r>
      <w:r w:rsidR="00325CE3" w:rsidRPr="007B608F">
        <w:rPr>
          <w:bCs/>
        </w:rPr>
        <w:tab/>
      </w:r>
      <w:r w:rsidR="00325CE3" w:rsidRPr="007B608F">
        <w:rPr>
          <w:bCs/>
        </w:rPr>
        <w:tab/>
        <w:t>5</w:t>
      </w:r>
    </w:p>
    <w:p w:rsidR="00726834" w:rsidRPr="007B608F" w:rsidRDefault="00726834" w:rsidP="007B608F">
      <w:pPr>
        <w:numPr>
          <w:ilvl w:val="0"/>
          <w:numId w:val="39"/>
        </w:numPr>
        <w:spacing w:before="240" w:line="276" w:lineRule="auto"/>
        <w:jc w:val="both"/>
        <w:rPr>
          <w:bCs/>
        </w:rPr>
      </w:pPr>
      <w:r w:rsidRPr="007B608F">
        <w:rPr>
          <w:bCs/>
        </w:rPr>
        <w:t>Defences</w:t>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t>6</w:t>
      </w:r>
    </w:p>
    <w:p w:rsidR="00726834" w:rsidRPr="007B608F" w:rsidRDefault="00726834" w:rsidP="007B608F">
      <w:pPr>
        <w:numPr>
          <w:ilvl w:val="1"/>
          <w:numId w:val="39"/>
        </w:numPr>
        <w:spacing w:before="240" w:line="276" w:lineRule="auto"/>
        <w:jc w:val="both"/>
        <w:rPr>
          <w:bCs/>
        </w:rPr>
      </w:pPr>
      <w:r w:rsidRPr="007B608F">
        <w:rPr>
          <w:bCs/>
        </w:rPr>
        <w:t>Truth and Public Interest</w:t>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r>
      <w:r w:rsidR="00325CE3" w:rsidRPr="007B608F">
        <w:rPr>
          <w:bCs/>
        </w:rPr>
        <w:tab/>
        <w:t>6</w:t>
      </w:r>
    </w:p>
    <w:p w:rsidR="00726834" w:rsidRPr="007B608F" w:rsidRDefault="00325CE3" w:rsidP="007B608F">
      <w:pPr>
        <w:pStyle w:val="ListParagraph"/>
        <w:numPr>
          <w:ilvl w:val="1"/>
          <w:numId w:val="39"/>
        </w:numPr>
        <w:spacing w:before="240" w:after="160" w:line="276" w:lineRule="auto"/>
        <w:rPr>
          <w:bCs/>
        </w:rPr>
      </w:pPr>
      <w:r w:rsidRPr="007B608F">
        <w:rPr>
          <w:bCs/>
        </w:rPr>
        <w:t>R</w:t>
      </w:r>
      <w:r w:rsidR="00726834" w:rsidRPr="007B608F">
        <w:rPr>
          <w:bCs/>
        </w:rPr>
        <w:t>elative privilege</w:t>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t>6</w:t>
      </w:r>
    </w:p>
    <w:p w:rsidR="00726834" w:rsidRPr="007B608F" w:rsidRDefault="00726834" w:rsidP="007B608F">
      <w:pPr>
        <w:numPr>
          <w:ilvl w:val="0"/>
          <w:numId w:val="39"/>
        </w:numPr>
        <w:spacing w:before="240" w:line="276" w:lineRule="auto"/>
        <w:jc w:val="both"/>
      </w:pPr>
      <w:r w:rsidRPr="007B608F">
        <w:t xml:space="preserve">The criminal justice </w:t>
      </w:r>
      <w:r w:rsidR="00325CE3" w:rsidRPr="007B608F">
        <w:t>system in S</w:t>
      </w:r>
      <w:r w:rsidRPr="007B608F">
        <w:t xml:space="preserve">outh </w:t>
      </w:r>
      <w:r w:rsidR="00325CE3" w:rsidRPr="007B608F">
        <w:t>Africa</w:t>
      </w:r>
      <w:r w:rsidRPr="007B608F">
        <w:t xml:space="preserve"> when dealing with Rape</w:t>
      </w:r>
      <w:r w:rsidR="00325CE3" w:rsidRPr="007B608F">
        <w:tab/>
      </w:r>
      <w:r w:rsidR="00325CE3" w:rsidRPr="007B608F">
        <w:tab/>
        <w:t>7</w:t>
      </w:r>
    </w:p>
    <w:p w:rsidR="00726834" w:rsidRPr="007B608F" w:rsidRDefault="00726834" w:rsidP="007B608F">
      <w:pPr>
        <w:numPr>
          <w:ilvl w:val="0"/>
          <w:numId w:val="39"/>
        </w:numPr>
        <w:spacing w:before="240" w:line="276" w:lineRule="auto"/>
      </w:pPr>
      <w:r w:rsidRPr="007B608F">
        <w:t>The Applicants right to fair trial</w:t>
      </w:r>
      <w:r w:rsidR="00325CE3" w:rsidRPr="007B608F">
        <w:tab/>
      </w:r>
      <w:r w:rsidR="00325CE3" w:rsidRPr="007B608F">
        <w:tab/>
      </w:r>
      <w:r w:rsidR="00325CE3" w:rsidRPr="007B608F">
        <w:tab/>
      </w:r>
      <w:r w:rsidR="00325CE3" w:rsidRPr="007B608F">
        <w:tab/>
      </w:r>
      <w:r w:rsidR="00325CE3" w:rsidRPr="007B608F">
        <w:tab/>
      </w:r>
      <w:r w:rsidR="00325CE3" w:rsidRPr="007B608F">
        <w:tab/>
      </w:r>
      <w:r w:rsidR="00325CE3" w:rsidRPr="007B608F">
        <w:tab/>
        <w:t>8</w:t>
      </w:r>
    </w:p>
    <w:p w:rsidR="00726834" w:rsidRPr="007B608F" w:rsidRDefault="00726834" w:rsidP="007B608F">
      <w:pPr>
        <w:numPr>
          <w:ilvl w:val="0"/>
          <w:numId w:val="39"/>
        </w:numPr>
        <w:spacing w:before="240" w:line="276" w:lineRule="auto"/>
      </w:pPr>
      <w:r w:rsidRPr="007B608F">
        <w:t>Appropriate remedy</w:t>
      </w:r>
      <w:r w:rsidR="00325CE3" w:rsidRPr="007B608F">
        <w:tab/>
      </w:r>
      <w:r w:rsidR="00325CE3" w:rsidRPr="007B608F">
        <w:tab/>
      </w:r>
      <w:r w:rsidR="00325CE3" w:rsidRPr="007B608F">
        <w:tab/>
      </w:r>
      <w:r w:rsidR="00325CE3" w:rsidRPr="007B608F">
        <w:tab/>
      </w:r>
      <w:r w:rsidR="00325CE3" w:rsidRPr="007B608F">
        <w:tab/>
      </w:r>
      <w:r w:rsidR="00325CE3" w:rsidRPr="007B608F">
        <w:tab/>
      </w:r>
      <w:r w:rsidR="00325CE3" w:rsidRPr="007B608F">
        <w:tab/>
      </w:r>
      <w:r w:rsidR="00325CE3" w:rsidRPr="007B608F">
        <w:tab/>
        <w:t>10</w:t>
      </w:r>
    </w:p>
    <w:p w:rsidR="00726834" w:rsidRPr="007B608F" w:rsidRDefault="00726834" w:rsidP="007B608F">
      <w:pPr>
        <w:numPr>
          <w:ilvl w:val="0"/>
          <w:numId w:val="39"/>
        </w:numPr>
        <w:spacing w:before="240" w:line="276" w:lineRule="auto"/>
        <w:jc w:val="both"/>
      </w:pPr>
      <w:r w:rsidRPr="007B608F">
        <w:t>The interdict sought would be ineffective</w:t>
      </w:r>
      <w:r w:rsidR="00325CE3" w:rsidRPr="007B608F">
        <w:tab/>
      </w:r>
      <w:r w:rsidR="00325CE3" w:rsidRPr="007B608F">
        <w:tab/>
      </w:r>
      <w:r w:rsidR="00325CE3" w:rsidRPr="007B608F">
        <w:tab/>
      </w:r>
      <w:r w:rsidR="00325CE3" w:rsidRPr="007B608F">
        <w:tab/>
      </w:r>
      <w:r w:rsidR="00325CE3" w:rsidRPr="007B608F">
        <w:tab/>
      </w:r>
      <w:r w:rsidR="007B608F" w:rsidRPr="007B608F">
        <w:t>10</w:t>
      </w:r>
    </w:p>
    <w:p w:rsidR="00726834" w:rsidRPr="007B608F" w:rsidRDefault="00325CE3" w:rsidP="007B608F">
      <w:pPr>
        <w:pStyle w:val="ListParagraph"/>
        <w:numPr>
          <w:ilvl w:val="0"/>
          <w:numId w:val="39"/>
        </w:numPr>
        <w:spacing w:before="240" w:after="160" w:line="276" w:lineRule="auto"/>
        <w:rPr>
          <w:bCs/>
        </w:rPr>
      </w:pPr>
      <w:r w:rsidRPr="007B608F">
        <w:rPr>
          <w:bCs/>
        </w:rPr>
        <w:t>C</w:t>
      </w:r>
      <w:r w:rsidR="00726834" w:rsidRPr="007B608F">
        <w:rPr>
          <w:bCs/>
        </w:rPr>
        <w:t>osts</w:t>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r>
      <w:r w:rsidRPr="007B608F">
        <w:rPr>
          <w:bCs/>
        </w:rPr>
        <w:tab/>
        <w:t>11</w:t>
      </w:r>
    </w:p>
    <w:p w:rsidR="00726834" w:rsidRPr="007B608F" w:rsidRDefault="00325CE3" w:rsidP="007B608F">
      <w:pPr>
        <w:pStyle w:val="ListParagraph"/>
        <w:numPr>
          <w:ilvl w:val="0"/>
          <w:numId w:val="39"/>
        </w:numPr>
        <w:spacing w:before="240" w:after="160" w:line="276" w:lineRule="auto"/>
        <w:rPr>
          <w:bCs/>
        </w:rPr>
      </w:pPr>
      <w:r w:rsidRPr="007B608F">
        <w:rPr>
          <w:bCs/>
        </w:rPr>
        <w:t>C</w:t>
      </w:r>
      <w:r w:rsidR="00726834" w:rsidRPr="007B608F">
        <w:rPr>
          <w:bCs/>
        </w:rPr>
        <w:t>onclusion</w:t>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t>11</w:t>
      </w:r>
    </w:p>
    <w:p w:rsidR="00610D85" w:rsidRPr="007B608F" w:rsidRDefault="00325CE3" w:rsidP="007B608F">
      <w:pPr>
        <w:pStyle w:val="ListParagraph"/>
        <w:numPr>
          <w:ilvl w:val="0"/>
          <w:numId w:val="39"/>
        </w:numPr>
        <w:spacing w:before="240" w:after="160" w:line="276" w:lineRule="auto"/>
        <w:rPr>
          <w:bCs/>
        </w:rPr>
      </w:pPr>
      <w:r w:rsidRPr="007B608F">
        <w:rPr>
          <w:bCs/>
        </w:rPr>
        <w:t>References</w:t>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sidRPr="007B608F">
        <w:rPr>
          <w:bCs/>
        </w:rPr>
        <w:tab/>
      </w:r>
      <w:r w:rsidR="007B608F">
        <w:rPr>
          <w:bCs/>
        </w:rPr>
        <w:tab/>
      </w:r>
      <w:r w:rsidR="007B608F" w:rsidRPr="007B608F">
        <w:rPr>
          <w:bCs/>
        </w:rPr>
        <w:t>12</w:t>
      </w:r>
    </w:p>
    <w:p w:rsidR="007B608F" w:rsidRDefault="007B608F" w:rsidP="00325CE3">
      <w:pPr>
        <w:spacing w:line="360" w:lineRule="auto"/>
        <w:rPr>
          <w:b/>
          <w:bCs/>
          <w:caps/>
        </w:rPr>
      </w:pPr>
    </w:p>
    <w:p w:rsidR="007B608F" w:rsidRDefault="00610D85" w:rsidP="007B608F">
      <w:pPr>
        <w:rPr>
          <w:b/>
          <w:bCs/>
          <w:caps/>
        </w:rPr>
      </w:pPr>
      <w:r w:rsidRPr="007B608F">
        <w:rPr>
          <w:b/>
          <w:bCs/>
          <w:caps/>
        </w:rPr>
        <w:lastRenderedPageBreak/>
        <w:t>Introduction:</w:t>
      </w:r>
    </w:p>
    <w:p w:rsidR="007B608F" w:rsidRPr="007B608F" w:rsidRDefault="007B608F" w:rsidP="007B608F">
      <w:pPr>
        <w:rPr>
          <w:b/>
          <w:bCs/>
          <w:caps/>
        </w:rPr>
      </w:pPr>
    </w:p>
    <w:p w:rsidR="00610D85" w:rsidRPr="007B608F" w:rsidRDefault="00610D85" w:rsidP="007B608F">
      <w:pPr>
        <w:numPr>
          <w:ilvl w:val="0"/>
          <w:numId w:val="8"/>
        </w:numPr>
        <w:spacing w:line="360" w:lineRule="auto"/>
      </w:pPr>
      <w:r w:rsidRPr="007B608F">
        <w:t>The applicant has brought an application to this honourable court seeking an interdict in the following:</w:t>
      </w:r>
    </w:p>
    <w:p w:rsidR="00610D85" w:rsidRPr="007B608F" w:rsidRDefault="00610D85" w:rsidP="007B608F">
      <w:pPr>
        <w:pStyle w:val="ListParagraph"/>
        <w:numPr>
          <w:ilvl w:val="1"/>
          <w:numId w:val="8"/>
        </w:numPr>
        <w:spacing w:after="160" w:line="360" w:lineRule="auto"/>
      </w:pPr>
      <w:r w:rsidRPr="007B608F">
        <w:t>Directing the respondent to remove a certain blog post and interlinking twitter post which she published on 16 June 2016 alluding such posts as defamatory;</w:t>
      </w:r>
    </w:p>
    <w:p w:rsidR="00610D85" w:rsidRPr="007B608F" w:rsidRDefault="00610D85" w:rsidP="007B608F">
      <w:pPr>
        <w:pStyle w:val="ListParagraph"/>
        <w:numPr>
          <w:ilvl w:val="1"/>
          <w:numId w:val="8"/>
        </w:numPr>
        <w:spacing w:after="160" w:line="360" w:lineRule="auto"/>
      </w:pPr>
      <w:r w:rsidRPr="007B608F">
        <w:t>Preventing the respondent from publishing any article about him or his company – Education4Higher; and</w:t>
      </w:r>
    </w:p>
    <w:p w:rsidR="00610D85" w:rsidRPr="007B608F" w:rsidRDefault="00610D85" w:rsidP="007B608F">
      <w:pPr>
        <w:pStyle w:val="ListParagraph"/>
        <w:numPr>
          <w:ilvl w:val="1"/>
          <w:numId w:val="8"/>
        </w:numPr>
        <w:spacing w:after="160" w:line="360" w:lineRule="auto"/>
        <w:jc w:val="both"/>
      </w:pPr>
      <w:r w:rsidRPr="007B608F">
        <w:t>Directing the respondent to publish an apology on Twitter and on her blog.</w:t>
      </w:r>
    </w:p>
    <w:p w:rsidR="00610D85" w:rsidRPr="007B608F" w:rsidRDefault="00610D85" w:rsidP="007B608F">
      <w:pPr>
        <w:pStyle w:val="ListParagraph"/>
        <w:numPr>
          <w:ilvl w:val="0"/>
          <w:numId w:val="8"/>
        </w:numPr>
        <w:spacing w:after="160" w:line="360" w:lineRule="auto"/>
        <w:jc w:val="both"/>
      </w:pPr>
      <w:r w:rsidRPr="007B608F">
        <w:t xml:space="preserve">The interdict sought concerns two rights entrenched in the Constitution of the Republic of South Africa, 1996: the right to freedom of expression and the right to inherent dignity. </w:t>
      </w:r>
    </w:p>
    <w:p w:rsidR="00610D85" w:rsidRPr="007B608F" w:rsidRDefault="00610D85" w:rsidP="007B608F">
      <w:pPr>
        <w:numPr>
          <w:ilvl w:val="0"/>
          <w:numId w:val="8"/>
        </w:numPr>
        <w:spacing w:line="360" w:lineRule="auto"/>
        <w:jc w:val="both"/>
      </w:pPr>
      <w:r w:rsidRPr="007B608F">
        <w:t>We submit that the application has no merits and should be dismissed in its entirety and we make certain preliminary assertions which we respectfully believe are justified in this matter.</w:t>
      </w:r>
    </w:p>
    <w:p w:rsidR="00610D85" w:rsidRPr="007B608F" w:rsidRDefault="00610D85" w:rsidP="007B608F">
      <w:pPr>
        <w:pStyle w:val="ListParagraph"/>
        <w:numPr>
          <w:ilvl w:val="0"/>
          <w:numId w:val="8"/>
        </w:numPr>
        <w:spacing w:after="160" w:line="360" w:lineRule="auto"/>
        <w:jc w:val="both"/>
      </w:pPr>
      <w:r w:rsidRPr="007B608F">
        <w:t>Our submission will address the following issues:</w:t>
      </w:r>
    </w:p>
    <w:p w:rsidR="00610D85" w:rsidRPr="007B608F" w:rsidRDefault="00610D85" w:rsidP="007B608F">
      <w:pPr>
        <w:numPr>
          <w:ilvl w:val="1"/>
          <w:numId w:val="8"/>
        </w:numPr>
        <w:spacing w:line="360" w:lineRule="auto"/>
        <w:jc w:val="both"/>
      </w:pPr>
      <w:r w:rsidRPr="007B608F">
        <w:t>The posts do not cause substantial harm to the reputation of the applicant</w:t>
      </w:r>
    </w:p>
    <w:p w:rsidR="00610D85" w:rsidRPr="007B608F" w:rsidRDefault="00610D85" w:rsidP="007B608F">
      <w:pPr>
        <w:numPr>
          <w:ilvl w:val="1"/>
          <w:numId w:val="8"/>
        </w:numPr>
        <w:spacing w:line="360" w:lineRule="auto"/>
        <w:jc w:val="both"/>
      </w:pPr>
      <w:r w:rsidRPr="007B608F">
        <w:t xml:space="preserve">The posts qualify as true and in the public interest, thereby successfully defending against the claims of defamation. </w:t>
      </w:r>
    </w:p>
    <w:p w:rsidR="00610D85" w:rsidRPr="007B608F" w:rsidRDefault="00610D85" w:rsidP="007B608F">
      <w:pPr>
        <w:numPr>
          <w:ilvl w:val="1"/>
          <w:numId w:val="8"/>
        </w:numPr>
        <w:spacing w:line="360" w:lineRule="auto"/>
        <w:jc w:val="both"/>
      </w:pPr>
      <w:r w:rsidRPr="007B608F">
        <w:t>The respondent’s conduct does not undermine the applicant’s rights to a fair trial.</w:t>
      </w:r>
    </w:p>
    <w:p w:rsidR="00610D85" w:rsidRPr="007B608F" w:rsidRDefault="00610D85" w:rsidP="007B608F">
      <w:pPr>
        <w:numPr>
          <w:ilvl w:val="1"/>
          <w:numId w:val="8"/>
        </w:numPr>
        <w:spacing w:line="360" w:lineRule="auto"/>
        <w:jc w:val="both"/>
      </w:pPr>
      <w:r w:rsidRPr="007B608F">
        <w:t xml:space="preserve">There is </w:t>
      </w:r>
      <w:r w:rsidR="00325CE3" w:rsidRPr="007B608F">
        <w:t>an</w:t>
      </w:r>
      <w:r w:rsidRPr="007B608F">
        <w:t xml:space="preserve"> appropriate remedy in the matter other than a remedy sought for by the applicants, that being an interdict.</w:t>
      </w:r>
    </w:p>
    <w:p w:rsidR="00610D85" w:rsidRPr="007B608F" w:rsidRDefault="00610D85" w:rsidP="007B608F">
      <w:pPr>
        <w:numPr>
          <w:ilvl w:val="1"/>
          <w:numId w:val="8"/>
        </w:numPr>
        <w:spacing w:line="360" w:lineRule="auto"/>
        <w:jc w:val="both"/>
      </w:pPr>
      <w:r w:rsidRPr="007B608F">
        <w:t>An interdict is not an appropriate remedy after both the twitter post and the blog post have been live for a few days.</w:t>
      </w:r>
    </w:p>
    <w:p w:rsidR="00325CE3" w:rsidRPr="007B608F" w:rsidRDefault="00325CE3" w:rsidP="007B608F">
      <w:pPr>
        <w:spacing w:line="360" w:lineRule="auto"/>
        <w:jc w:val="both"/>
      </w:pPr>
    </w:p>
    <w:p w:rsidR="007B608F" w:rsidRPr="007B608F" w:rsidRDefault="00610D85" w:rsidP="007B608F">
      <w:pPr>
        <w:pStyle w:val="ListParagraph"/>
        <w:spacing w:after="160"/>
        <w:ind w:left="0"/>
        <w:jc w:val="both"/>
        <w:rPr>
          <w:b/>
          <w:bCs/>
        </w:rPr>
      </w:pPr>
      <w:r w:rsidRPr="007B608F">
        <w:rPr>
          <w:b/>
          <w:bCs/>
        </w:rPr>
        <w:t>THE BACKGROUND</w:t>
      </w:r>
    </w:p>
    <w:p w:rsidR="00610D85" w:rsidRPr="007B608F" w:rsidRDefault="00610D85" w:rsidP="007B608F">
      <w:pPr>
        <w:numPr>
          <w:ilvl w:val="0"/>
          <w:numId w:val="8"/>
        </w:numPr>
        <w:spacing w:line="360" w:lineRule="auto"/>
        <w:jc w:val="both"/>
      </w:pPr>
      <w:r w:rsidRPr="007B608F">
        <w:t xml:space="preserve">The respondent is Joyce Shabangu, a 21 year old student in her final year of studies towards a Bachelor of Science. The respondent is also the treasurer of the Student Feminists Society on her campus. The respondent was an employee at </w:t>
      </w:r>
      <w:r w:rsidR="00325CE3" w:rsidRPr="007B608F">
        <w:t>Education4Higher until</w:t>
      </w:r>
      <w:r w:rsidRPr="007B608F">
        <w:t xml:space="preserve"> 30 May 2016.</w:t>
      </w:r>
    </w:p>
    <w:p w:rsidR="00610D85" w:rsidRPr="007B608F" w:rsidRDefault="00610D85" w:rsidP="007B608F">
      <w:pPr>
        <w:numPr>
          <w:ilvl w:val="0"/>
          <w:numId w:val="8"/>
        </w:numPr>
        <w:spacing w:line="360" w:lineRule="auto"/>
        <w:jc w:val="both"/>
      </w:pPr>
      <w:r w:rsidRPr="007B608F">
        <w:t>The applicant is Chris Marks, a 29 year old entrepreneur and owner of Education4Higher</w:t>
      </w:r>
      <w:r w:rsidR="00325CE3" w:rsidRPr="007B608F">
        <w:t>.</w:t>
      </w:r>
      <w:r w:rsidR="007B608F">
        <w:t xml:space="preserve"> </w:t>
      </w:r>
      <w:r w:rsidRPr="007B608F">
        <w:t xml:space="preserve">The applicant claims that the posts in question made by the respondent are defamatory. The posts complained of by the applicant describe an incident which took place in the offices of Education4Higher where the respondent alleges that she was called by the applicant for a meeting to discuss the respondent’s students on Friday 27 May 2016. </w:t>
      </w:r>
    </w:p>
    <w:p w:rsidR="00610D85" w:rsidRPr="007B608F" w:rsidRDefault="00610D85" w:rsidP="00325CE3">
      <w:pPr>
        <w:numPr>
          <w:ilvl w:val="0"/>
          <w:numId w:val="8"/>
        </w:numPr>
        <w:spacing w:line="360" w:lineRule="auto"/>
        <w:jc w:val="both"/>
      </w:pPr>
      <w:r w:rsidRPr="007B608F">
        <w:lastRenderedPageBreak/>
        <w:t>The respondent further makes assertions in the post on her blog that she reported the crime and corroborated the statement made to the police with evidence as well as the evidence of three other women that have also been attacked by the applicant.</w:t>
      </w:r>
    </w:p>
    <w:p w:rsidR="00610D85" w:rsidRPr="007B608F" w:rsidRDefault="00610D85" w:rsidP="00325CE3">
      <w:pPr>
        <w:numPr>
          <w:ilvl w:val="0"/>
          <w:numId w:val="8"/>
        </w:numPr>
        <w:spacing w:line="360" w:lineRule="auto"/>
        <w:jc w:val="both"/>
      </w:pPr>
      <w:r w:rsidRPr="007B608F">
        <w:t xml:space="preserve">Despite this report and evidence the police have refused to do anything, in fact she states that they told her to just get over it, thus leaving her with no </w:t>
      </w:r>
      <w:r w:rsidR="00726834" w:rsidRPr="007B608F">
        <w:t>choice but</w:t>
      </w:r>
      <w:r w:rsidRPr="007B608F">
        <w:t xml:space="preserve"> to tell her story over the social networking site.</w:t>
      </w:r>
    </w:p>
    <w:p w:rsidR="00610D85" w:rsidRPr="007B608F" w:rsidRDefault="00610D85" w:rsidP="00325CE3">
      <w:pPr>
        <w:numPr>
          <w:ilvl w:val="0"/>
          <w:numId w:val="8"/>
        </w:numPr>
        <w:spacing w:line="360" w:lineRule="auto"/>
        <w:jc w:val="both"/>
      </w:pPr>
      <w:r w:rsidRPr="007B608F">
        <w:t>It is common cause that criminal charges have not been laid against the applicant for the crime of rape by the respondent</w:t>
      </w:r>
      <w:r w:rsidR="00325CE3" w:rsidRPr="007B608F">
        <w:t>.</w:t>
      </w:r>
    </w:p>
    <w:p w:rsidR="00610D85" w:rsidRPr="007B608F" w:rsidRDefault="00610D85" w:rsidP="00325CE3">
      <w:pPr>
        <w:spacing w:line="360" w:lineRule="auto"/>
        <w:jc w:val="both"/>
      </w:pPr>
    </w:p>
    <w:p w:rsidR="00610D85" w:rsidRPr="007B608F" w:rsidRDefault="00610D85" w:rsidP="007B608F">
      <w:pPr>
        <w:rPr>
          <w:b/>
          <w:bCs/>
          <w:caps/>
        </w:rPr>
      </w:pPr>
      <w:r w:rsidRPr="007B608F">
        <w:rPr>
          <w:b/>
          <w:bCs/>
          <w:caps/>
        </w:rPr>
        <w:t>Rights of the parties:</w:t>
      </w:r>
    </w:p>
    <w:p w:rsidR="00610D85" w:rsidRPr="007B608F" w:rsidRDefault="00610D85" w:rsidP="007B608F">
      <w:pPr>
        <w:rPr>
          <w:b/>
          <w:bCs/>
          <w:caps/>
        </w:rPr>
      </w:pPr>
    </w:p>
    <w:p w:rsidR="00610D85" w:rsidRPr="007B608F" w:rsidRDefault="00610D85" w:rsidP="00325CE3">
      <w:pPr>
        <w:numPr>
          <w:ilvl w:val="0"/>
          <w:numId w:val="8"/>
        </w:numPr>
        <w:spacing w:line="360" w:lineRule="auto"/>
      </w:pPr>
      <w:r w:rsidRPr="007B608F">
        <w:t>The rights which are in question are:</w:t>
      </w:r>
    </w:p>
    <w:p w:rsidR="00610D85" w:rsidRPr="007B608F" w:rsidRDefault="00610D85" w:rsidP="00325CE3">
      <w:pPr>
        <w:pStyle w:val="ListParagraph"/>
        <w:numPr>
          <w:ilvl w:val="1"/>
          <w:numId w:val="8"/>
        </w:numPr>
        <w:spacing w:after="160" w:line="360" w:lineRule="auto"/>
      </w:pPr>
      <w:r w:rsidRPr="007B608F">
        <w:t>The right to human dignity, which includes the right to have their dignity respected and protected - section 10 of the Constitution</w:t>
      </w:r>
      <w:r w:rsidR="007B608F">
        <w:t xml:space="preserve"> of the Republic of South Africa</w:t>
      </w:r>
      <w:r w:rsidRPr="007B608F">
        <w:t>, 1996</w:t>
      </w:r>
      <w:r w:rsidRPr="007B608F">
        <w:rPr>
          <w:rStyle w:val="FootnoteReference"/>
        </w:rPr>
        <w:footnoteReference w:id="1"/>
      </w:r>
      <w:r w:rsidRPr="007B608F">
        <w:t>(hereinafter “the Constitution)</w:t>
      </w:r>
    </w:p>
    <w:p w:rsidR="00610D85" w:rsidRPr="007B608F" w:rsidRDefault="00610D85" w:rsidP="00325CE3">
      <w:pPr>
        <w:pStyle w:val="ListParagraph"/>
        <w:numPr>
          <w:ilvl w:val="1"/>
          <w:numId w:val="8"/>
        </w:numPr>
        <w:spacing w:after="160" w:line="360" w:lineRule="auto"/>
      </w:pPr>
      <w:r w:rsidRPr="007B608F">
        <w:t xml:space="preserve">The right to a fair trial – section 35(3) of the Constitution. </w:t>
      </w:r>
    </w:p>
    <w:p w:rsidR="00610D85" w:rsidRPr="007B608F" w:rsidRDefault="00610D85" w:rsidP="00325CE3">
      <w:pPr>
        <w:pStyle w:val="ListParagraph"/>
        <w:numPr>
          <w:ilvl w:val="1"/>
          <w:numId w:val="8"/>
        </w:numPr>
        <w:spacing w:after="160" w:line="360" w:lineRule="auto"/>
      </w:pPr>
      <w:r w:rsidRPr="007B608F">
        <w:t>The right to freedom of expression – section 16 of the Constitution. This right includes the freedom to receive and/or impart information or ideas.</w:t>
      </w:r>
    </w:p>
    <w:p w:rsidR="00610D85" w:rsidRPr="007B608F" w:rsidRDefault="00610D85" w:rsidP="00325CE3">
      <w:pPr>
        <w:pStyle w:val="ListParagraph"/>
        <w:spacing w:after="160" w:line="360" w:lineRule="auto"/>
        <w:ind w:left="0"/>
      </w:pPr>
    </w:p>
    <w:p w:rsidR="00610D85" w:rsidRPr="007B608F" w:rsidRDefault="00610D85" w:rsidP="007B608F">
      <w:pPr>
        <w:rPr>
          <w:b/>
          <w:bCs/>
          <w:caps/>
          <w:u w:val="single"/>
        </w:rPr>
      </w:pPr>
      <w:r w:rsidRPr="007B608F">
        <w:rPr>
          <w:b/>
          <w:bCs/>
          <w:caps/>
        </w:rPr>
        <w:t>the importance of Freedom of expression</w:t>
      </w:r>
    </w:p>
    <w:p w:rsidR="00610D85" w:rsidRPr="007B608F" w:rsidRDefault="00610D85" w:rsidP="007B608F">
      <w:pPr>
        <w:jc w:val="both"/>
      </w:pPr>
    </w:p>
    <w:p w:rsidR="00610D85" w:rsidRPr="007B608F" w:rsidRDefault="00610D85" w:rsidP="00325CE3">
      <w:pPr>
        <w:numPr>
          <w:ilvl w:val="0"/>
          <w:numId w:val="8"/>
        </w:numPr>
        <w:spacing w:line="360" w:lineRule="auto"/>
        <w:jc w:val="both"/>
        <w:rPr>
          <w:color w:val="FF0000"/>
        </w:rPr>
      </w:pPr>
      <w:r w:rsidRPr="007B608F">
        <w:t>The importance attached to freedom of expression is not a new to our courts of law. This Court has repeatedly recognised the important role that is played by the right to freedom of expression in our constitutional dispensation. In our submission we will not delve much into the critical importance of freedom of expression as we are limited in our responses.</w:t>
      </w:r>
    </w:p>
    <w:p w:rsidR="00610D85" w:rsidRPr="007B608F" w:rsidRDefault="00610D85" w:rsidP="00325CE3">
      <w:pPr>
        <w:spacing w:line="360" w:lineRule="auto"/>
        <w:jc w:val="both"/>
        <w:rPr>
          <w:color w:val="FF0000"/>
        </w:rPr>
      </w:pPr>
    </w:p>
    <w:p w:rsidR="00610D85" w:rsidRPr="007B608F" w:rsidRDefault="00610D85" w:rsidP="00325CE3">
      <w:pPr>
        <w:numPr>
          <w:ilvl w:val="0"/>
          <w:numId w:val="8"/>
        </w:numPr>
        <w:spacing w:line="360" w:lineRule="auto"/>
        <w:jc w:val="both"/>
      </w:pPr>
      <w:r w:rsidRPr="007B608F">
        <w:t xml:space="preserve">Section 16(1) of the Constitution provides: </w:t>
      </w:r>
    </w:p>
    <w:p w:rsidR="00610D85" w:rsidRPr="007B608F" w:rsidRDefault="00610D85" w:rsidP="00325CE3">
      <w:pPr>
        <w:spacing w:line="360" w:lineRule="auto"/>
        <w:ind w:left="720"/>
        <w:jc w:val="both"/>
        <w:rPr>
          <w:i/>
          <w:iCs/>
        </w:rPr>
      </w:pPr>
      <w:r w:rsidRPr="007B608F">
        <w:rPr>
          <w:i/>
          <w:iCs/>
        </w:rPr>
        <w:t xml:space="preserve">“(1) Everyone has the right to freedom of expression which includes – (a) freedom of the press and other media; (b) freedom to receive or impart information or ideas; (c) freedom of artistic creativity; and (d) academic freedom and freedom of scientific research.”  </w:t>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pPr>
      <w:r w:rsidRPr="007B608F">
        <w:lastRenderedPageBreak/>
        <w:t>Article 10 of the European Convention on Human Rights (ECHR) protects freedom of expression in the following terms:</w:t>
      </w:r>
    </w:p>
    <w:p w:rsidR="00610D85" w:rsidRPr="007B608F" w:rsidRDefault="00610D85" w:rsidP="00325CE3">
      <w:pPr>
        <w:spacing w:line="360" w:lineRule="auto"/>
        <w:ind w:left="720"/>
        <w:jc w:val="both"/>
        <w:rPr>
          <w:i/>
          <w:iCs/>
        </w:rPr>
      </w:pPr>
      <w:r w:rsidRPr="007B608F">
        <w:rPr>
          <w:i/>
          <w:iCs/>
        </w:rPr>
        <w:t>“Everyone has the right to freedom of expression. This right shall include freedom to hold opinions and to receive and impart information and ideas without interference by public authority and regardless of frontiers”</w:t>
      </w:r>
    </w:p>
    <w:p w:rsidR="00610D85" w:rsidRPr="007B608F" w:rsidRDefault="00610D85" w:rsidP="00325CE3">
      <w:pPr>
        <w:numPr>
          <w:ilvl w:val="0"/>
          <w:numId w:val="8"/>
        </w:numPr>
        <w:spacing w:line="360" w:lineRule="auto"/>
        <w:jc w:val="both"/>
      </w:pPr>
      <w:r w:rsidRPr="007B608F">
        <w:t>Article 19 of the 1948 Universal Declaration of Human Rights (UDHR) states:</w:t>
      </w:r>
    </w:p>
    <w:p w:rsidR="00610D85" w:rsidRPr="007B608F" w:rsidRDefault="00610D85" w:rsidP="00325CE3">
      <w:pPr>
        <w:spacing w:line="360" w:lineRule="auto"/>
        <w:ind w:left="720"/>
        <w:jc w:val="both"/>
        <w:rPr>
          <w:i/>
          <w:iCs/>
        </w:rPr>
      </w:pPr>
      <w:r w:rsidRPr="007B608F">
        <w:rPr>
          <w:i/>
          <w:iCs/>
        </w:rPr>
        <w:t>“Everyone has the right to freedom of opinion and expression; this right includes freedom to hold opinions without interference and to seek, receive and impart information and ideas throughout any media regardless of frontier”</w:t>
      </w:r>
      <w:r w:rsidRPr="007B608F">
        <w:rPr>
          <w:rStyle w:val="FootnoteReference"/>
          <w:i/>
          <w:iCs/>
        </w:rPr>
        <w:footnoteReference w:id="2"/>
      </w:r>
      <w:r w:rsidRPr="007B608F">
        <w:rPr>
          <w:i/>
          <w:iCs/>
        </w:rPr>
        <w:t>.</w:t>
      </w:r>
    </w:p>
    <w:p w:rsidR="00610D85" w:rsidRPr="007B608F" w:rsidRDefault="00610D85" w:rsidP="00325CE3">
      <w:pPr>
        <w:numPr>
          <w:ilvl w:val="0"/>
          <w:numId w:val="8"/>
        </w:numPr>
        <w:spacing w:line="360" w:lineRule="auto"/>
        <w:jc w:val="both"/>
      </w:pPr>
      <w:r w:rsidRPr="007B608F">
        <w:t>The approach to freedom of expression has been consisted in South Africa and the world. In light of the above, we submit that our preliminary assertions are justified in this matter.</w:t>
      </w:r>
    </w:p>
    <w:p w:rsidR="00325CE3" w:rsidRPr="007B608F" w:rsidRDefault="00325CE3" w:rsidP="00325CE3">
      <w:pPr>
        <w:spacing w:line="360" w:lineRule="auto"/>
        <w:jc w:val="both"/>
      </w:pPr>
    </w:p>
    <w:p w:rsidR="00610D85" w:rsidRDefault="00610D85" w:rsidP="00325CE3">
      <w:pPr>
        <w:spacing w:line="360" w:lineRule="auto"/>
        <w:rPr>
          <w:b/>
          <w:bCs/>
          <w:caps/>
        </w:rPr>
      </w:pPr>
      <w:r w:rsidRPr="007B608F">
        <w:rPr>
          <w:b/>
          <w:bCs/>
          <w:caps/>
        </w:rPr>
        <w:t>Do THE POSTS harm the REPUTATION OF the applicant</w:t>
      </w:r>
    </w:p>
    <w:p w:rsidR="007B608F" w:rsidRPr="007B608F" w:rsidRDefault="007B608F" w:rsidP="00325CE3">
      <w:pPr>
        <w:spacing w:line="360" w:lineRule="auto"/>
        <w:rPr>
          <w:b/>
          <w:bCs/>
          <w:caps/>
        </w:rPr>
      </w:pPr>
    </w:p>
    <w:p w:rsidR="00610D85" w:rsidRPr="007B608F" w:rsidRDefault="00610D85" w:rsidP="00325CE3">
      <w:pPr>
        <w:numPr>
          <w:ilvl w:val="0"/>
          <w:numId w:val="8"/>
        </w:numPr>
        <w:spacing w:line="360" w:lineRule="auto"/>
        <w:jc w:val="both"/>
        <w:rPr>
          <w:lang w:val="en-ZA"/>
        </w:rPr>
      </w:pPr>
      <w:r w:rsidRPr="007B608F">
        <w:t>It has been noted in South African law that a</w:t>
      </w:r>
      <w:r w:rsidRPr="007B608F">
        <w:rPr>
          <w:lang w:val="en-ZA"/>
        </w:rPr>
        <w:t>n act which causes harm is insufficient to give rise to delictual liability per se. In order for liability to follow, prejudice must be caused in a wrongful manner.</w:t>
      </w:r>
      <w:r w:rsidRPr="007B608F">
        <w:rPr>
          <w:rStyle w:val="FootnoteReference"/>
          <w:lang w:val="en-ZA"/>
        </w:rPr>
        <w:footnoteReference w:id="3"/>
      </w:r>
      <w:r w:rsidRPr="007B608F">
        <w:rPr>
          <w:lang w:val="en-ZA"/>
        </w:rPr>
        <w:t xml:space="preserve"> We therefore submit that it will be presumptuous for the court to concede that prejudice or harm was caused to the applicant solely on the statements the respondent published in her blog. </w:t>
      </w:r>
    </w:p>
    <w:p w:rsidR="00610D85" w:rsidRPr="007B608F" w:rsidRDefault="00610D85" w:rsidP="00325CE3">
      <w:pPr>
        <w:spacing w:line="360" w:lineRule="auto"/>
        <w:jc w:val="both"/>
        <w:rPr>
          <w:lang w:val="en-ZA"/>
        </w:rPr>
      </w:pPr>
    </w:p>
    <w:p w:rsidR="00610D85" w:rsidRPr="007B608F" w:rsidRDefault="00610D85" w:rsidP="00325CE3">
      <w:pPr>
        <w:numPr>
          <w:ilvl w:val="0"/>
          <w:numId w:val="8"/>
        </w:numPr>
        <w:spacing w:line="360" w:lineRule="auto"/>
        <w:jc w:val="both"/>
        <w:rPr>
          <w:lang w:val="en-ZA"/>
        </w:rPr>
      </w:pPr>
      <w:r w:rsidRPr="007B608F">
        <w:rPr>
          <w:lang w:val="en-ZA"/>
        </w:rPr>
        <w:t xml:space="preserve">In </w:t>
      </w:r>
      <w:r w:rsidRPr="007B608F">
        <w:rPr>
          <w:b/>
          <w:bCs/>
          <w:lang w:val="en-ZA"/>
        </w:rPr>
        <w:t>National Media ltd and Others v Bogoshi (4) SA 1196 (SCA)</w:t>
      </w:r>
      <w:r w:rsidRPr="007B608F">
        <w:rPr>
          <w:lang w:val="en-ZA"/>
        </w:rPr>
        <w:t xml:space="preserve"> the court stated that:</w:t>
      </w:r>
    </w:p>
    <w:p w:rsidR="00610D85" w:rsidRPr="007B608F" w:rsidRDefault="00610D85" w:rsidP="00325CE3">
      <w:pPr>
        <w:spacing w:line="360" w:lineRule="auto"/>
        <w:ind w:left="720" w:firstLine="60"/>
        <w:jc w:val="both"/>
        <w:rPr>
          <w:i/>
          <w:iCs/>
          <w:lang w:val="en-ZA"/>
        </w:rPr>
      </w:pPr>
      <w:r w:rsidRPr="007B608F">
        <w:rPr>
          <w:i/>
          <w:iCs/>
          <w:lang w:val="en-ZA"/>
        </w:rPr>
        <w:t>“In South African law the lawfulness of a harmful act or omission is determined by the application of a general criterion of reasonableness based upon considerations of fairness, morality, policy and the court's perception of the legal convictions of the community. In accordance with this criterion it is the task of the Court to determine in each case whether public and legal policy required the particular publication to be regarded as lawful.”</w:t>
      </w:r>
      <w:r w:rsidRPr="007B608F">
        <w:rPr>
          <w:rStyle w:val="FootnoteReference"/>
          <w:i/>
          <w:iCs/>
          <w:lang w:val="en-ZA"/>
        </w:rPr>
        <w:footnoteReference w:id="4"/>
      </w:r>
      <w:r w:rsidRPr="007B608F">
        <w:rPr>
          <w:i/>
          <w:iCs/>
          <w:lang w:val="en-ZA"/>
        </w:rPr>
        <w:t xml:space="preserve"> </w:t>
      </w:r>
    </w:p>
    <w:p w:rsidR="00610D85" w:rsidRPr="007B608F" w:rsidRDefault="00610D85" w:rsidP="00325CE3">
      <w:pPr>
        <w:spacing w:line="360" w:lineRule="auto"/>
        <w:ind w:left="720" w:firstLine="60"/>
        <w:jc w:val="both"/>
        <w:rPr>
          <w:color w:val="FF0000"/>
          <w:lang w:val="en-ZA"/>
        </w:rPr>
      </w:pPr>
    </w:p>
    <w:p w:rsidR="00610D85" w:rsidRPr="007B608F" w:rsidRDefault="00610D85" w:rsidP="00325CE3">
      <w:pPr>
        <w:numPr>
          <w:ilvl w:val="0"/>
          <w:numId w:val="8"/>
        </w:numPr>
        <w:spacing w:line="360" w:lineRule="auto"/>
        <w:jc w:val="both"/>
        <w:rPr>
          <w:lang w:val="en-ZA"/>
        </w:rPr>
      </w:pPr>
      <w:r w:rsidRPr="007B608F">
        <w:rPr>
          <w:lang w:val="en-ZA"/>
        </w:rPr>
        <w:t xml:space="preserve">When applying the dual investigation for wrongfulness, it firstly needs to be established that the publication of the statements by the respondent has caused a harmful result and secondly, legal norms must be used to determine whether such prejudice occurred in a legally unreasonable manner. </w:t>
      </w:r>
    </w:p>
    <w:p w:rsidR="00610D85" w:rsidRPr="007B608F" w:rsidRDefault="00610D85" w:rsidP="00325CE3">
      <w:pPr>
        <w:numPr>
          <w:ilvl w:val="0"/>
          <w:numId w:val="8"/>
        </w:numPr>
        <w:spacing w:line="360" w:lineRule="auto"/>
        <w:jc w:val="both"/>
        <w:rPr>
          <w:lang w:val="en-ZA"/>
        </w:rPr>
      </w:pPr>
      <w:r w:rsidRPr="007B608F">
        <w:rPr>
          <w:lang w:val="en-ZA"/>
        </w:rPr>
        <w:lastRenderedPageBreak/>
        <w:t xml:space="preserve">It is common cause from the statements made by the respondent in her blog that the respondent went to formally report the incident to the police but was unable to formally lay a charge against the applicant, as the police official refused to assist her, thereby rendering access to the criminal justice system inept. </w:t>
      </w:r>
    </w:p>
    <w:p w:rsidR="00610D85" w:rsidRPr="007B608F" w:rsidRDefault="00610D85" w:rsidP="00325CE3">
      <w:pPr>
        <w:numPr>
          <w:ilvl w:val="0"/>
          <w:numId w:val="8"/>
        </w:numPr>
        <w:spacing w:line="360" w:lineRule="auto"/>
        <w:jc w:val="both"/>
        <w:rPr>
          <w:lang w:val="en-ZA"/>
        </w:rPr>
      </w:pPr>
      <w:r w:rsidRPr="007B608F">
        <w:t>The high rate of rape and other forms of sexual violence in South Africa has sparked concern and outrage by communities, leading to law reform, parliamentary debates, marches and campaigns. These acts are intolerable by communities.</w:t>
      </w:r>
      <w:r w:rsidRPr="007B608F">
        <w:rPr>
          <w:lang w:val="en-ZA"/>
        </w:rPr>
        <w:t xml:space="preserve">The respondent, as a victim of a traumatic crime which has become a plight in South Africa, undertook to social media, which </w:t>
      </w:r>
      <w:r w:rsidRPr="007B608F">
        <w:rPr>
          <w:lang w:val="en-US"/>
        </w:rPr>
        <w:t>was her last and most convenient resort</w:t>
      </w:r>
      <w:r w:rsidRPr="007B608F">
        <w:rPr>
          <w:lang w:val="en-ZA"/>
        </w:rPr>
        <w:t>.</w:t>
      </w:r>
    </w:p>
    <w:p w:rsidR="00610D85" w:rsidRPr="007B608F" w:rsidRDefault="00610D85" w:rsidP="00325CE3">
      <w:pPr>
        <w:spacing w:line="360" w:lineRule="auto"/>
        <w:jc w:val="both"/>
        <w:rPr>
          <w:lang w:val="en-ZA"/>
        </w:rPr>
      </w:pPr>
    </w:p>
    <w:p w:rsidR="00610D85" w:rsidRPr="007B608F" w:rsidRDefault="00610D85" w:rsidP="00325CE3">
      <w:pPr>
        <w:numPr>
          <w:ilvl w:val="0"/>
          <w:numId w:val="8"/>
        </w:numPr>
        <w:spacing w:line="360" w:lineRule="auto"/>
        <w:jc w:val="both"/>
        <w:rPr>
          <w:lang w:val="en-ZA"/>
        </w:rPr>
      </w:pPr>
      <w:r w:rsidRPr="007B608F">
        <w:rPr>
          <w:lang w:val="en-ZA"/>
        </w:rPr>
        <w:t>We submit that when balancing the interests that the respondent promoted by fully exercising her right, being publishing and repeating the same statements she made to the police on her blog, which can be seen to amount to freedom of expression, and those she allegedly infringed, the applicants’ right to dignity and, it is clear that such publication was made in a reasonable manner, and that such harm was justified in light of the legal convictions of the community.</w:t>
      </w:r>
    </w:p>
    <w:p w:rsidR="00610D85" w:rsidRPr="007B608F" w:rsidRDefault="00610D85" w:rsidP="00325CE3">
      <w:pPr>
        <w:spacing w:line="360" w:lineRule="auto"/>
        <w:jc w:val="both"/>
        <w:rPr>
          <w:lang w:val="en-ZA"/>
        </w:rPr>
      </w:pPr>
    </w:p>
    <w:p w:rsidR="00610D85" w:rsidRPr="007B608F" w:rsidRDefault="00610D85" w:rsidP="00325CE3">
      <w:pPr>
        <w:spacing w:line="360" w:lineRule="auto"/>
        <w:jc w:val="center"/>
        <w:rPr>
          <w:lang w:val="en-ZA"/>
        </w:rPr>
      </w:pPr>
      <w:r w:rsidRPr="007B608F">
        <w:rPr>
          <w:lang w:val="en-ZA"/>
        </w:rPr>
        <w:t>5.</w:t>
      </w:r>
    </w:p>
    <w:p w:rsidR="00610D85" w:rsidRPr="007B608F" w:rsidRDefault="00610D85" w:rsidP="00325CE3">
      <w:pPr>
        <w:numPr>
          <w:ilvl w:val="0"/>
          <w:numId w:val="8"/>
        </w:numPr>
        <w:spacing w:line="360" w:lineRule="auto"/>
        <w:jc w:val="both"/>
        <w:rPr>
          <w:lang w:val="en-ZA"/>
        </w:rPr>
      </w:pPr>
      <w:r w:rsidRPr="007B608F">
        <w:rPr>
          <w:lang w:val="en-ZA"/>
        </w:rPr>
        <w:t>In Khumalo v Holomisa 2002 5 SA 401 (CC) 419 O’Regan J said:</w:t>
      </w:r>
    </w:p>
    <w:p w:rsidR="00610D85" w:rsidRPr="007B608F" w:rsidRDefault="00610D85" w:rsidP="00325CE3">
      <w:pPr>
        <w:spacing w:line="360" w:lineRule="auto"/>
        <w:jc w:val="both"/>
        <w:rPr>
          <w:lang w:val="en-ZA"/>
        </w:rPr>
      </w:pPr>
    </w:p>
    <w:p w:rsidR="00610D85" w:rsidRPr="007B608F" w:rsidRDefault="00610D85" w:rsidP="00325CE3">
      <w:pPr>
        <w:spacing w:line="360" w:lineRule="auto"/>
        <w:ind w:left="720"/>
        <w:jc w:val="both"/>
        <w:rPr>
          <w:i/>
          <w:iCs/>
          <w:lang w:val="en-ZA"/>
        </w:rPr>
      </w:pPr>
      <w:r w:rsidRPr="007B608F">
        <w:rPr>
          <w:i/>
          <w:iCs/>
          <w:lang w:val="en-ZA"/>
        </w:rPr>
        <w:t xml:space="preserve">“When considering the constitutionality of the law of defamation, therefore, we need to ask whether an appropriate balance is struck between the protection of freedom of expression on the one hand and the value of human dignity on the other.” </w:t>
      </w:r>
    </w:p>
    <w:p w:rsidR="00610D85" w:rsidRPr="007B608F" w:rsidRDefault="00610D85" w:rsidP="00325CE3">
      <w:pPr>
        <w:spacing w:line="360" w:lineRule="auto"/>
        <w:ind w:left="720" w:firstLine="60"/>
        <w:jc w:val="both"/>
        <w:rPr>
          <w:i/>
          <w:iCs/>
          <w:lang w:val="en-ZA"/>
        </w:rPr>
      </w:pPr>
    </w:p>
    <w:p w:rsidR="00610D85" w:rsidRPr="007B608F" w:rsidRDefault="00610D85" w:rsidP="00325CE3">
      <w:pPr>
        <w:numPr>
          <w:ilvl w:val="0"/>
          <w:numId w:val="8"/>
        </w:numPr>
        <w:spacing w:line="360" w:lineRule="auto"/>
        <w:jc w:val="both"/>
        <w:rPr>
          <w:lang w:val="en-ZA"/>
        </w:rPr>
      </w:pPr>
      <w:r w:rsidRPr="007B608F">
        <w:t>The conflicting interests of the right to freedom of expression and the inherent right to dignity are both weighed in light of these relevant circumstances and in view of all pertinent factors. It is evident that the legal convictions of the community would justify harm caused on the part of the applicant.</w:t>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rPr>
          <w:lang w:val="en-ZA"/>
        </w:rPr>
      </w:pPr>
      <w:r w:rsidRPr="007B608F">
        <w:rPr>
          <w:lang w:val="en-ZA"/>
        </w:rPr>
        <w:t>Section 16 of the Constitution of the republic of South Africa, 1996, provides that everyone has the right to freedom of expression and the freedom to receive or impart information or ideas. In stressing the importance of the right to freedom of expression, we do not wish to be understood to be suggesting that that it is an absolute right, nor that it out-ranks all other rights in the Bill of Rights. This is not the case. We submit that whilst the applicant has the right to protection of his dignity and reputation, there is equally a right on the part of the respondent to freely express herself.</w:t>
      </w:r>
    </w:p>
    <w:p w:rsidR="00610D85" w:rsidRPr="007B608F" w:rsidRDefault="00610D85" w:rsidP="00325CE3">
      <w:pPr>
        <w:spacing w:line="360" w:lineRule="auto"/>
        <w:jc w:val="both"/>
        <w:rPr>
          <w:lang w:val="en-ZA"/>
        </w:rPr>
      </w:pPr>
    </w:p>
    <w:p w:rsidR="00610D85" w:rsidRPr="007B608F" w:rsidRDefault="00610D85" w:rsidP="00325CE3">
      <w:pPr>
        <w:numPr>
          <w:ilvl w:val="0"/>
          <w:numId w:val="8"/>
        </w:numPr>
        <w:spacing w:line="360" w:lineRule="auto"/>
        <w:jc w:val="both"/>
        <w:rPr>
          <w:lang w:val="en-ZA"/>
        </w:rPr>
      </w:pPr>
      <w:r w:rsidRPr="007B608F">
        <w:rPr>
          <w:lang w:val="en-ZA"/>
        </w:rPr>
        <w:t>On this ground alone, therefore, there is no basis for the order sought and the falls to be given.</w:t>
      </w:r>
    </w:p>
    <w:p w:rsidR="00610D85" w:rsidRPr="007B608F" w:rsidRDefault="00610D85" w:rsidP="00325CE3">
      <w:pPr>
        <w:numPr>
          <w:ilvl w:val="0"/>
          <w:numId w:val="8"/>
        </w:numPr>
        <w:spacing w:line="360" w:lineRule="auto"/>
        <w:jc w:val="both"/>
        <w:rPr>
          <w:lang w:val="en-ZA"/>
        </w:rPr>
      </w:pPr>
      <w:r w:rsidRPr="007B608F">
        <w:rPr>
          <w:lang w:val="en-ZA"/>
        </w:rPr>
        <w:t xml:space="preserve">In </w:t>
      </w:r>
      <w:r w:rsidRPr="007B608F">
        <w:rPr>
          <w:b/>
          <w:bCs/>
          <w:lang w:val="en-ZA"/>
        </w:rPr>
        <w:t>Cele v Avusa Media Limited [2013] 2 All SA 412 (GSJ)</w:t>
      </w:r>
      <w:r w:rsidRPr="007B608F">
        <w:rPr>
          <w:lang w:val="en-ZA"/>
        </w:rPr>
        <w:t>, the court held that:</w:t>
      </w:r>
    </w:p>
    <w:p w:rsidR="00610D85" w:rsidRPr="007B608F" w:rsidRDefault="00610D85" w:rsidP="00325CE3">
      <w:pPr>
        <w:spacing w:line="360" w:lineRule="auto"/>
        <w:ind w:left="720"/>
        <w:jc w:val="both"/>
        <w:rPr>
          <w:lang w:val="en-ZA"/>
        </w:rPr>
      </w:pPr>
      <w:r w:rsidRPr="007B608F">
        <w:rPr>
          <w:lang w:val="en-ZA"/>
        </w:rPr>
        <w:t xml:space="preserve">“The law of defamation requires the balancing of two constitutional rights, neither of which can be regarded as being of greater </w:t>
      </w:r>
      <w:r w:rsidRPr="007B608F">
        <w:rPr>
          <w:i/>
          <w:iCs/>
          <w:lang w:val="en-ZA"/>
        </w:rPr>
        <w:t>a priori</w:t>
      </w:r>
      <w:r w:rsidRPr="007B608F">
        <w:rPr>
          <w:lang w:val="en-ZA"/>
        </w:rPr>
        <w:t xml:space="preserve"> significance: the right to reputation, which forms part of the right to dignity, and the right to freedom of expression.”</w:t>
      </w:r>
      <w:r w:rsidRPr="007B608F">
        <w:rPr>
          <w:rStyle w:val="FootnoteReference"/>
          <w:lang w:val="en-ZA"/>
        </w:rPr>
        <w:footnoteReference w:id="5"/>
      </w:r>
      <w:r w:rsidRPr="007B608F">
        <w:rPr>
          <w:lang w:val="en-ZA"/>
        </w:rPr>
        <w:t xml:space="preserve"> </w:t>
      </w:r>
    </w:p>
    <w:p w:rsidR="00610D85" w:rsidRPr="007B608F" w:rsidRDefault="00610D85" w:rsidP="00325CE3">
      <w:pPr>
        <w:spacing w:line="360" w:lineRule="auto"/>
        <w:jc w:val="both"/>
      </w:pPr>
    </w:p>
    <w:p w:rsidR="00610D85" w:rsidRDefault="00610D85" w:rsidP="007B608F">
      <w:pPr>
        <w:jc w:val="both"/>
        <w:rPr>
          <w:b/>
          <w:bCs/>
          <w:caps/>
        </w:rPr>
      </w:pPr>
      <w:r w:rsidRPr="007B608F">
        <w:rPr>
          <w:b/>
          <w:bCs/>
          <w:caps/>
        </w:rPr>
        <w:t>Defence of Truth and Public Interest</w:t>
      </w:r>
    </w:p>
    <w:p w:rsidR="007B608F" w:rsidRPr="007B608F" w:rsidRDefault="007B608F" w:rsidP="007B608F">
      <w:pPr>
        <w:jc w:val="both"/>
        <w:rPr>
          <w:b/>
          <w:bCs/>
          <w:caps/>
        </w:rPr>
      </w:pPr>
    </w:p>
    <w:p w:rsidR="00610D85" w:rsidRPr="007B608F" w:rsidRDefault="00610D85" w:rsidP="00325CE3">
      <w:pPr>
        <w:numPr>
          <w:ilvl w:val="0"/>
          <w:numId w:val="8"/>
        </w:numPr>
        <w:spacing w:line="360" w:lineRule="auto"/>
        <w:jc w:val="both"/>
        <w:rPr>
          <w:shd w:val="clear" w:color="auto" w:fill="FFFFFF"/>
        </w:rPr>
      </w:pPr>
      <w:r w:rsidRPr="007B608F">
        <w:t>We submit that the publications of the statements were substantially true and had been published for the public benefit.</w:t>
      </w:r>
      <w:r w:rsidRPr="007B608F">
        <w:rPr>
          <w:lang w:eastAsia="en-ZA"/>
        </w:rPr>
        <w:t xml:space="preserve"> As an active member of a Student Feminist Society that deals with the issue wh</w:t>
      </w:r>
      <w:r w:rsidR="00F259F6" w:rsidRPr="007B608F">
        <w:rPr>
          <w:lang w:eastAsia="en-ZA"/>
        </w:rPr>
        <w:t>ich the defamatory charge deals.</w:t>
      </w:r>
      <w:r w:rsidRPr="007B608F">
        <w:rPr>
          <w:lang w:eastAsia="en-ZA"/>
        </w:rPr>
        <w:t xml:space="preserve"> </w:t>
      </w:r>
      <w:r w:rsidR="00F259F6" w:rsidRPr="007B608F">
        <w:rPr>
          <w:lang w:eastAsia="en-ZA"/>
        </w:rPr>
        <w:t>We submit that the respondent has a social duty towards the people she’s leading and a responsibility to maintain an image and reputation of integrity and courage to lead in the organisation.</w:t>
      </w:r>
    </w:p>
    <w:p w:rsidR="00610D85" w:rsidRPr="007B608F" w:rsidRDefault="00610D85" w:rsidP="00325CE3">
      <w:pPr>
        <w:spacing w:line="360" w:lineRule="auto"/>
        <w:jc w:val="both"/>
        <w:rPr>
          <w:shd w:val="clear" w:color="auto" w:fill="FFFFFF"/>
        </w:rPr>
      </w:pPr>
    </w:p>
    <w:p w:rsidR="00610D85" w:rsidRPr="007B608F" w:rsidRDefault="00610D85" w:rsidP="00325CE3">
      <w:pPr>
        <w:numPr>
          <w:ilvl w:val="0"/>
          <w:numId w:val="8"/>
        </w:numPr>
        <w:spacing w:line="360" w:lineRule="auto"/>
        <w:jc w:val="both"/>
        <w:rPr>
          <w:b/>
          <w:bCs/>
          <w:lang w:eastAsia="en-ZA"/>
        </w:rPr>
      </w:pPr>
      <w:r w:rsidRPr="007B608F">
        <w:rPr>
          <w:lang w:eastAsia="en-ZA"/>
        </w:rPr>
        <w:t xml:space="preserve">Accordingly, as Grosskopf JA observed in </w:t>
      </w:r>
      <w:r w:rsidRPr="007B608F">
        <w:rPr>
          <w:b/>
          <w:bCs/>
          <w:lang w:eastAsia="en-ZA"/>
        </w:rPr>
        <w:t>Argus Printing and Publishing Co</w:t>
      </w:r>
      <w:r w:rsidRPr="007B608F">
        <w:rPr>
          <w:b/>
          <w:bCs/>
          <w:shd w:val="clear" w:color="auto" w:fill="C0C0C0"/>
          <w:lang w:eastAsia="en-ZA"/>
        </w:rPr>
        <w:t xml:space="preserve"> F </w:t>
      </w:r>
      <w:r w:rsidRPr="007B608F">
        <w:rPr>
          <w:b/>
          <w:bCs/>
          <w:lang w:eastAsia="en-ZA"/>
        </w:rPr>
        <w:t>Ltd v Inkatha Freedom Party 1992 (3) SA 579 (A) at 588 that :</w:t>
      </w:r>
    </w:p>
    <w:p w:rsidR="00610D85" w:rsidRPr="007B608F" w:rsidRDefault="00610D85" w:rsidP="00325CE3">
      <w:pPr>
        <w:spacing w:line="360" w:lineRule="auto"/>
        <w:jc w:val="both"/>
        <w:rPr>
          <w:b/>
          <w:bCs/>
          <w:lang w:eastAsia="en-ZA"/>
        </w:rPr>
      </w:pPr>
    </w:p>
    <w:p w:rsidR="00610D85" w:rsidRPr="007B608F" w:rsidRDefault="00610D85" w:rsidP="00325CE3">
      <w:pPr>
        <w:spacing w:line="360" w:lineRule="auto"/>
        <w:ind w:left="720"/>
        <w:jc w:val="both"/>
        <w:rPr>
          <w:i/>
          <w:lang w:eastAsia="en-ZA"/>
        </w:rPr>
      </w:pPr>
      <w:r w:rsidRPr="007B608F">
        <w:rPr>
          <w:b/>
          <w:bCs/>
          <w:i/>
          <w:lang w:eastAsia="en-ZA"/>
        </w:rPr>
        <w:t>“</w:t>
      </w:r>
      <w:r w:rsidRPr="007B608F">
        <w:rPr>
          <w:i/>
          <w:lang w:eastAsia="en-ZA"/>
        </w:rPr>
        <w:t xml:space="preserve">where public policy so demands, the Court would be entitled to recognise new situations in which a defendant's conduct in publishing defamatory matter is lawful'. </w:t>
      </w:r>
    </w:p>
    <w:p w:rsidR="00610D85" w:rsidRPr="007B608F" w:rsidRDefault="00610D85" w:rsidP="00325CE3">
      <w:pPr>
        <w:spacing w:line="360" w:lineRule="auto"/>
        <w:ind w:left="720"/>
        <w:jc w:val="both"/>
        <w:rPr>
          <w:lang w:eastAsia="en-ZA"/>
        </w:rPr>
      </w:pPr>
    </w:p>
    <w:p w:rsidR="00610D85" w:rsidRPr="007B608F" w:rsidRDefault="00610D85" w:rsidP="00325CE3">
      <w:pPr>
        <w:numPr>
          <w:ilvl w:val="0"/>
          <w:numId w:val="8"/>
        </w:numPr>
        <w:spacing w:line="360" w:lineRule="auto"/>
        <w:jc w:val="both"/>
        <w:rPr>
          <w:lang w:eastAsia="en-ZA"/>
        </w:rPr>
      </w:pPr>
      <w:r w:rsidRPr="007B608F">
        <w:rPr>
          <w:lang w:eastAsia="en-ZA"/>
        </w:rPr>
        <w:t>Even though this is not a new situation per se, the fact and circumstances render the matter of complicated and nuanced because of the new wake of technological and social developments.</w:t>
      </w:r>
    </w:p>
    <w:p w:rsidR="00610D85" w:rsidRPr="007B608F" w:rsidRDefault="00610D85" w:rsidP="00325CE3">
      <w:pPr>
        <w:spacing w:line="360" w:lineRule="auto"/>
        <w:jc w:val="both"/>
        <w:rPr>
          <w:lang w:eastAsia="en-ZA"/>
        </w:rPr>
      </w:pPr>
    </w:p>
    <w:p w:rsidR="00610D85" w:rsidRPr="007B608F" w:rsidRDefault="00610D85" w:rsidP="00325CE3">
      <w:pPr>
        <w:numPr>
          <w:ilvl w:val="0"/>
          <w:numId w:val="8"/>
        </w:numPr>
        <w:spacing w:line="360" w:lineRule="auto"/>
        <w:jc w:val="both"/>
        <w:rPr>
          <w:shd w:val="clear" w:color="auto" w:fill="FFFFFF"/>
        </w:rPr>
      </w:pPr>
      <w:r w:rsidRPr="007B608F">
        <w:rPr>
          <w:shd w:val="clear" w:color="auto" w:fill="FFFFFF"/>
        </w:rPr>
        <w:t xml:space="preserve">We submit further that there can be little doubt that the public has an interest in defamatory remarks which question the integrity and competence of a person who’s </w:t>
      </w:r>
      <w:r w:rsidR="00F259F6" w:rsidRPr="007B608F">
        <w:rPr>
          <w:shd w:val="clear" w:color="auto" w:fill="FFFFFF"/>
        </w:rPr>
        <w:t>business</w:t>
      </w:r>
      <w:r w:rsidRPr="007B608F">
        <w:rPr>
          <w:shd w:val="clear" w:color="auto" w:fill="FFFFFF"/>
        </w:rPr>
        <w:t xml:space="preserve"> is centred around children, and in particular, girls. The truth as to the character and conduct of the applicant is in the public interest. The statements made by the respondent were not made solely from motives of self-interest or malice, but the publication of those statements was for the public to be aware of the character and behaviour of the applicant. </w:t>
      </w:r>
    </w:p>
    <w:p w:rsidR="00610D85" w:rsidRPr="007B608F" w:rsidRDefault="00610D85" w:rsidP="00325CE3">
      <w:pPr>
        <w:spacing w:line="360" w:lineRule="auto"/>
        <w:jc w:val="both"/>
        <w:rPr>
          <w:shd w:val="clear" w:color="auto" w:fill="FFFFFF"/>
        </w:rPr>
      </w:pPr>
    </w:p>
    <w:p w:rsidR="00610D85" w:rsidRPr="007B608F" w:rsidRDefault="00610D85" w:rsidP="00325CE3">
      <w:pPr>
        <w:numPr>
          <w:ilvl w:val="0"/>
          <w:numId w:val="8"/>
        </w:numPr>
        <w:spacing w:line="360" w:lineRule="auto"/>
        <w:jc w:val="both"/>
        <w:rPr>
          <w:lang w:eastAsia="en-ZA"/>
        </w:rPr>
      </w:pPr>
      <w:r w:rsidRPr="007B608F">
        <w:rPr>
          <w:lang w:eastAsia="en-ZA"/>
        </w:rPr>
        <w:lastRenderedPageBreak/>
        <w:t>We further submit that if the statements complained of contained a number of inaccuracies, of which we deny, the sting of the defamatory part, that being a horrendous incident occurred to which the criminal justice system failed to assist in apprehending the perpetrator, was substantially true and its publication is for the public benefit.</w:t>
      </w:r>
    </w:p>
    <w:p w:rsidR="00610D85" w:rsidRPr="007B608F" w:rsidRDefault="00610D85" w:rsidP="00325CE3">
      <w:pPr>
        <w:spacing w:line="360" w:lineRule="auto"/>
        <w:jc w:val="both"/>
      </w:pPr>
    </w:p>
    <w:p w:rsidR="00325CE3" w:rsidRPr="007B608F" w:rsidRDefault="00F259F6" w:rsidP="007B608F">
      <w:pPr>
        <w:jc w:val="both"/>
        <w:rPr>
          <w:b/>
          <w:caps/>
        </w:rPr>
      </w:pPr>
      <w:r w:rsidRPr="007B608F">
        <w:rPr>
          <w:b/>
          <w:caps/>
        </w:rPr>
        <w:t>Relative Privilege</w:t>
      </w:r>
    </w:p>
    <w:p w:rsidR="00325CE3" w:rsidRPr="007B608F" w:rsidRDefault="00325CE3" w:rsidP="007B608F">
      <w:pPr>
        <w:jc w:val="both"/>
        <w:rPr>
          <w:b/>
          <w:caps/>
        </w:rPr>
      </w:pPr>
    </w:p>
    <w:p w:rsidR="00610D85" w:rsidRPr="007B608F" w:rsidRDefault="00610D85" w:rsidP="00325CE3">
      <w:pPr>
        <w:numPr>
          <w:ilvl w:val="0"/>
          <w:numId w:val="8"/>
        </w:numPr>
        <w:spacing w:line="360" w:lineRule="auto"/>
        <w:jc w:val="both"/>
      </w:pPr>
      <w:r w:rsidRPr="007B608F">
        <w:t xml:space="preserve">We submit </w:t>
      </w:r>
      <w:r w:rsidR="00F259F6" w:rsidRPr="007B608F">
        <w:t xml:space="preserve">to the court an alternative defence, that being </w:t>
      </w:r>
      <w:r w:rsidRPr="007B608F">
        <w:t xml:space="preserve">that the respondent enjoys protection in the form of qualified privilege on the basis that she had a right and duty to publish the defamatory statements along with a corresponding right on the part of the readers of her blog post to receive the same. </w:t>
      </w:r>
    </w:p>
    <w:p w:rsidR="00610D85" w:rsidRPr="007B608F" w:rsidRDefault="00610D85" w:rsidP="00325CE3">
      <w:pPr>
        <w:numPr>
          <w:ilvl w:val="0"/>
          <w:numId w:val="8"/>
        </w:numPr>
        <w:spacing w:line="360" w:lineRule="auto"/>
        <w:jc w:val="both"/>
      </w:pPr>
      <w:r w:rsidRPr="007B608F">
        <w:t>We advance that the respondent had good reason to write about the aspect of the applicants conduct. She was under a legal, moral and social duty to publish and report on the criminal justice systems incompetence in dealing with victims of sexual offences and handling incidence</w:t>
      </w:r>
      <w:r w:rsidR="00F259F6" w:rsidRPr="007B608F">
        <w:t>s</w:t>
      </w:r>
      <w:r w:rsidRPr="007B608F">
        <w:t xml:space="preserve"> of rape. Hence in the opinion of the reasonable person, there was a duty both to communicate and to be informed of the applicant’s behaviour. </w:t>
      </w:r>
    </w:p>
    <w:p w:rsidR="00610D85" w:rsidRPr="007B608F" w:rsidRDefault="00610D85" w:rsidP="00325CE3">
      <w:pPr>
        <w:spacing w:line="360" w:lineRule="auto"/>
        <w:jc w:val="both"/>
      </w:pPr>
    </w:p>
    <w:p w:rsidR="00C0649E" w:rsidRPr="007B608F" w:rsidRDefault="00610D85" w:rsidP="00325CE3">
      <w:pPr>
        <w:numPr>
          <w:ilvl w:val="0"/>
          <w:numId w:val="8"/>
        </w:numPr>
        <w:spacing w:line="360" w:lineRule="auto"/>
        <w:jc w:val="both"/>
      </w:pPr>
      <w:r w:rsidRPr="007B608F">
        <w:t xml:space="preserve">We submit that as it is evident that the statements made by the respondent are of a serious nature, in that a crime has been committed, and because of lack of support and assistance from the criminal justice system, it is important and urgent for the statement which includes such defamatory remarks to be made to raise awareness. </w:t>
      </w:r>
    </w:p>
    <w:p w:rsidR="00C0649E" w:rsidRPr="007B608F" w:rsidRDefault="00C0649E" w:rsidP="00325CE3">
      <w:pPr>
        <w:numPr>
          <w:ilvl w:val="0"/>
          <w:numId w:val="8"/>
        </w:numPr>
        <w:spacing w:line="360" w:lineRule="auto"/>
        <w:jc w:val="both"/>
      </w:pPr>
      <w:r w:rsidRPr="007B608F">
        <w:t>In the case Mahanyele v Mail &amp; Guardian Ltd and Other para 44 the Supreme Court of Appeal held that:</w:t>
      </w:r>
    </w:p>
    <w:p w:rsidR="00C0649E" w:rsidRPr="007B608F" w:rsidRDefault="00C0649E" w:rsidP="00325CE3">
      <w:pPr>
        <w:spacing w:line="360" w:lineRule="auto"/>
        <w:jc w:val="both"/>
      </w:pPr>
    </w:p>
    <w:p w:rsidR="00C0649E" w:rsidRPr="007B608F" w:rsidRDefault="00C0649E" w:rsidP="00325CE3">
      <w:pPr>
        <w:spacing w:line="360" w:lineRule="auto"/>
        <w:ind w:left="720"/>
        <w:jc w:val="both"/>
        <w:rPr>
          <w:i/>
        </w:rPr>
      </w:pPr>
      <w:r w:rsidRPr="007B608F">
        <w:rPr>
          <w:i/>
        </w:rPr>
        <w:t>“ the publication of defamatory matter will not be unlawful if upon a consideration of all the circumstances of the case, it was found to be reasonable to publish the (a) particular facts in a particular way and (b) at a particular time. The way in which the respondent made the statements was such that the reasonable person, at her age and with the resources to her disposal, would pursue. Social networking sites are accessible to the general public and have on several occasions been used by people of the society to achieve social redress. The court further held that in appropriate cases, a defendant should not be liable where publication is justifiable in the circumstance – “justifiable” which the court used interchangeably with reasonable.”</w:t>
      </w:r>
    </w:p>
    <w:p w:rsidR="00C0649E" w:rsidRPr="007B608F" w:rsidRDefault="00C0649E" w:rsidP="00325CE3">
      <w:pPr>
        <w:spacing w:line="360" w:lineRule="auto"/>
        <w:ind w:left="720"/>
        <w:jc w:val="both"/>
      </w:pPr>
    </w:p>
    <w:p w:rsidR="00610D85" w:rsidRPr="007B608F" w:rsidRDefault="00C0649E" w:rsidP="00325CE3">
      <w:pPr>
        <w:numPr>
          <w:ilvl w:val="0"/>
          <w:numId w:val="8"/>
        </w:numPr>
        <w:spacing w:line="360" w:lineRule="auto"/>
        <w:jc w:val="both"/>
      </w:pPr>
      <w:r w:rsidRPr="007B608F">
        <w:t>With respect to second leg of the consideration, it is submitted that the respondent made the statement after she had attempted to lay a charge.</w:t>
      </w:r>
    </w:p>
    <w:p w:rsidR="00610D85" w:rsidRPr="007B608F" w:rsidRDefault="00610D85" w:rsidP="00325CE3">
      <w:pPr>
        <w:numPr>
          <w:ilvl w:val="0"/>
          <w:numId w:val="8"/>
        </w:numPr>
        <w:spacing w:line="360" w:lineRule="auto"/>
        <w:jc w:val="both"/>
      </w:pPr>
      <w:r w:rsidRPr="007B608F">
        <w:lastRenderedPageBreak/>
        <w:t xml:space="preserve">The respondent further submits that the statement made was reasonably allied with discharging her duty. As an active member of the Student Feminist Society in her university, she has a moral and social duty to ensure that such acts do not go quietly. The respondent did not act with any form of malice as it is her sense of duty, which she took to uphold as a member of a Feminist Society, and a person who works with children, to report of such a traumatic and sensitive issue. </w:t>
      </w:r>
    </w:p>
    <w:p w:rsidR="00610D85" w:rsidRPr="007B608F" w:rsidRDefault="00610D85" w:rsidP="00325CE3">
      <w:pPr>
        <w:spacing w:line="360" w:lineRule="auto"/>
        <w:jc w:val="both"/>
      </w:pPr>
    </w:p>
    <w:p w:rsidR="00C0649E" w:rsidRPr="007B608F" w:rsidRDefault="00C0649E" w:rsidP="007B608F">
      <w:pPr>
        <w:jc w:val="both"/>
        <w:rPr>
          <w:b/>
          <w:caps/>
        </w:rPr>
      </w:pPr>
      <w:r w:rsidRPr="007B608F">
        <w:rPr>
          <w:b/>
          <w:caps/>
        </w:rPr>
        <w:t>The criminal justice system in south africa</w:t>
      </w:r>
    </w:p>
    <w:p w:rsidR="00C0649E" w:rsidRPr="007B608F" w:rsidRDefault="00C0649E" w:rsidP="007B608F">
      <w:pPr>
        <w:jc w:val="both"/>
        <w:rPr>
          <w:b/>
          <w:caps/>
        </w:rPr>
      </w:pPr>
    </w:p>
    <w:p w:rsidR="00610D85" w:rsidRPr="007B608F" w:rsidRDefault="00610D85" w:rsidP="00325CE3">
      <w:pPr>
        <w:numPr>
          <w:ilvl w:val="0"/>
          <w:numId w:val="8"/>
        </w:numPr>
        <w:spacing w:line="360" w:lineRule="auto"/>
        <w:jc w:val="both"/>
      </w:pPr>
      <w:r w:rsidRPr="007B608F">
        <w:t xml:space="preserve">The high rate of rape and other forms of sexual violence in South Africa has sparked concern and outrage. A national study found that only one in nine women who had been raped and also had physical force used against them reported the attack to the police. Low levels of reporting are not unique to South Africa and happen all over the world. The barriers to reporting rape range from different factors, in this case, problems </w:t>
      </w:r>
      <w:r w:rsidR="00C0649E" w:rsidRPr="007B608F">
        <w:t xml:space="preserve">of physical access to the criminal justice system which includes </w:t>
      </w:r>
      <w:r w:rsidRPr="007B608F">
        <w:t xml:space="preserve">experiencing rudeness and poor treatment from the police. </w:t>
      </w:r>
      <w:r w:rsidRPr="007B608F">
        <w:rPr>
          <w:rStyle w:val="FootnoteReference"/>
        </w:rPr>
        <w:footnoteReference w:id="6"/>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pPr>
      <w:r w:rsidRPr="007B608F">
        <w:t xml:space="preserve">It is notoriously difficult for survivors of rape to speak of experiences of sexual violence. With such statistics, it is clear that reporting incidents of </w:t>
      </w:r>
      <w:r w:rsidR="00C0649E" w:rsidRPr="007B608F">
        <w:t>rape</w:t>
      </w:r>
      <w:r w:rsidRPr="007B608F">
        <w:t xml:space="preserve"> in South Africa it is difficult. Statistics shows that among cases that were reported to the police, only half of the reported cases were referred to court.</w:t>
      </w:r>
      <w:r w:rsidRPr="007B608F">
        <w:rPr>
          <w:rStyle w:val="FootnoteReference"/>
        </w:rPr>
        <w:footnoteReference w:id="7"/>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pPr>
      <w:r w:rsidRPr="007B608F">
        <w:t xml:space="preserve">If we take under-reporting into account, it is clear that the overwhelming majority of sexual offenders are never held to account for their actions. The criminal justice system thus works too infrequently and inconsistently for it to be an effective deterrent to sexual violence as it cannot provide adequate redress to the victims of rape, and that for these reasons, we submit </w:t>
      </w:r>
      <w:r w:rsidR="00C0649E" w:rsidRPr="007B608F">
        <w:t xml:space="preserve">that </w:t>
      </w:r>
      <w:r w:rsidRPr="007B608F">
        <w:t>direct actions against the applicant by the respondent is justified.</w:t>
      </w:r>
    </w:p>
    <w:p w:rsidR="00C0649E" w:rsidRPr="007B608F" w:rsidRDefault="00C0649E" w:rsidP="00325CE3">
      <w:pPr>
        <w:spacing w:line="360" w:lineRule="auto"/>
        <w:jc w:val="both"/>
      </w:pPr>
    </w:p>
    <w:p w:rsidR="00C0649E" w:rsidRPr="007B608F" w:rsidRDefault="00C0649E" w:rsidP="00325CE3">
      <w:pPr>
        <w:numPr>
          <w:ilvl w:val="0"/>
          <w:numId w:val="8"/>
        </w:numPr>
        <w:spacing w:line="360" w:lineRule="auto"/>
        <w:jc w:val="both"/>
      </w:pPr>
      <w:r w:rsidRPr="007B608F">
        <w:t>The time in which she made these statements also justifies her actions. She didn’t resort to social media first but she did so after being failed by the police and subsequently the criminal justice system. It is in her statement where she say “I have no choice but to tell my story here” that we depict that she acted reasonably in respect of the second leg of consideration.</w:t>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rPr>
          <w:lang w:eastAsia="en-ZA"/>
        </w:rPr>
      </w:pPr>
      <w:r w:rsidRPr="007B608F">
        <w:rPr>
          <w:lang w:eastAsia="en-ZA"/>
        </w:rPr>
        <w:lastRenderedPageBreak/>
        <w:t xml:space="preserve">It is clear </w:t>
      </w:r>
      <w:r w:rsidR="00C0649E" w:rsidRPr="007B608F">
        <w:rPr>
          <w:lang w:eastAsia="en-ZA"/>
        </w:rPr>
        <w:t xml:space="preserve">from the above </w:t>
      </w:r>
      <w:r w:rsidR="007B608F" w:rsidRPr="007B608F">
        <w:rPr>
          <w:lang w:eastAsia="en-ZA"/>
        </w:rPr>
        <w:t>submission</w:t>
      </w:r>
      <w:r w:rsidR="007B608F">
        <w:rPr>
          <w:lang w:eastAsia="en-ZA"/>
        </w:rPr>
        <w:t>s</w:t>
      </w:r>
      <w:r w:rsidR="00C0649E" w:rsidRPr="007B608F">
        <w:rPr>
          <w:lang w:eastAsia="en-ZA"/>
        </w:rPr>
        <w:t xml:space="preserve"> </w:t>
      </w:r>
      <w:r w:rsidRPr="007B608F">
        <w:rPr>
          <w:lang w:eastAsia="en-ZA"/>
        </w:rPr>
        <w:t xml:space="preserve">that the respondent’s statements easily fall within the ambit of lawfulness. </w:t>
      </w:r>
    </w:p>
    <w:p w:rsidR="00610D85" w:rsidRPr="007B608F" w:rsidRDefault="00610D85" w:rsidP="00325CE3">
      <w:pPr>
        <w:spacing w:line="360" w:lineRule="auto"/>
        <w:jc w:val="both"/>
      </w:pPr>
    </w:p>
    <w:p w:rsidR="00610D85" w:rsidRPr="007B608F" w:rsidRDefault="00C0649E" w:rsidP="007B608F">
      <w:pPr>
        <w:rPr>
          <w:b/>
          <w:caps/>
        </w:rPr>
      </w:pPr>
      <w:r w:rsidRPr="007B608F">
        <w:rPr>
          <w:b/>
          <w:caps/>
        </w:rPr>
        <w:t>The Applicants right to fair trial</w:t>
      </w:r>
    </w:p>
    <w:p w:rsidR="00610D85" w:rsidRPr="007B608F" w:rsidRDefault="00610D85" w:rsidP="007B608F">
      <w:pPr>
        <w:jc w:val="both"/>
      </w:pPr>
    </w:p>
    <w:p w:rsidR="00610D85" w:rsidRPr="007B608F" w:rsidRDefault="00610D85" w:rsidP="00325CE3">
      <w:pPr>
        <w:numPr>
          <w:ilvl w:val="0"/>
          <w:numId w:val="8"/>
        </w:numPr>
        <w:spacing w:line="360" w:lineRule="auto"/>
        <w:jc w:val="both"/>
      </w:pPr>
      <w:r w:rsidRPr="007B608F">
        <w:t xml:space="preserve">In </w:t>
      </w:r>
      <w:r w:rsidRPr="007B608F">
        <w:rPr>
          <w:bCs/>
        </w:rPr>
        <w:t>Independent Newspaper Holdings Limited v Suliman [2004] 3 All SA 137 (SCA)</w:t>
      </w:r>
      <w:r w:rsidRPr="007B608F">
        <w:t xml:space="preserve"> </w:t>
      </w:r>
      <w:r w:rsidRPr="007B608F">
        <w:rPr>
          <w:bCs/>
        </w:rPr>
        <w:t>para 24</w:t>
      </w:r>
      <w:r w:rsidR="00C0649E" w:rsidRPr="007B608F">
        <w:t>, the</w:t>
      </w:r>
      <w:r w:rsidRPr="007B608F">
        <w:t xml:space="preserve"> court declined to accept the proposition that the reasonable reader is bound to equate a statement that a person is suspected by the police of committing a crime with a statement that the person has actually committed that crime. </w:t>
      </w:r>
    </w:p>
    <w:p w:rsidR="00610D85" w:rsidRPr="007B608F" w:rsidRDefault="00610D85" w:rsidP="00325CE3">
      <w:pPr>
        <w:spacing w:line="360" w:lineRule="auto"/>
        <w:jc w:val="both"/>
      </w:pPr>
    </w:p>
    <w:p w:rsidR="00610D85" w:rsidRPr="007B608F" w:rsidRDefault="00610D85" w:rsidP="00325CE3">
      <w:pPr>
        <w:numPr>
          <w:ilvl w:val="0"/>
          <w:numId w:val="8"/>
        </w:numPr>
        <w:spacing w:line="360" w:lineRule="auto"/>
        <w:jc w:val="both"/>
      </w:pPr>
      <w:r w:rsidRPr="007B608F">
        <w:t xml:space="preserve">This is so because the reasonable reader knows that, while many persons arrested and charged with criminal offences are eventually convicted, guilt or innocence is determined by a court on the basis of admissible evidence and that, not infrequently, the person charged is acquitted in the end </w:t>
      </w:r>
      <w:r w:rsidRPr="007B608F">
        <w:rPr>
          <w:i/>
        </w:rPr>
        <w:t>(</w:t>
      </w:r>
      <w:r w:rsidRPr="007B608F">
        <w:rPr>
          <w:bCs/>
          <w:i/>
        </w:rPr>
        <w:t>see Mirror Newspapers v Harrison [1982] HCA 50; (1982) 42 ALR 487 (HC of A) at 492</w:t>
      </w:r>
      <w:r w:rsidRPr="007B608F">
        <w:rPr>
          <w:i/>
        </w:rPr>
        <w:t>).</w:t>
      </w:r>
      <w:r w:rsidRPr="007B608F">
        <w:t xml:space="preserve"> </w:t>
      </w:r>
    </w:p>
    <w:p w:rsidR="00610D85" w:rsidRPr="007B608F" w:rsidRDefault="00610D85" w:rsidP="00325CE3">
      <w:pPr>
        <w:numPr>
          <w:ilvl w:val="0"/>
          <w:numId w:val="8"/>
        </w:numPr>
        <w:spacing w:line="360" w:lineRule="auto"/>
        <w:jc w:val="both"/>
      </w:pPr>
      <w:r w:rsidRPr="007B608F">
        <w:t>What the respondent made was a public statement repeating the assertions made to the police officer regarding the incident. In the statements made, she never accused the applicant of a crime, but merely repeated a statement she made to the police officer regarding an incident committed to her by the applicant, and not painting the applicant as a person guilty of the crime.</w:t>
      </w:r>
    </w:p>
    <w:p w:rsidR="00C0649E" w:rsidRPr="007B608F" w:rsidRDefault="00C0649E" w:rsidP="00325CE3">
      <w:pPr>
        <w:spacing w:line="360" w:lineRule="auto"/>
        <w:jc w:val="both"/>
      </w:pPr>
    </w:p>
    <w:p w:rsidR="00610D85" w:rsidRPr="007B608F" w:rsidRDefault="00610D85" w:rsidP="00325CE3">
      <w:pPr>
        <w:numPr>
          <w:ilvl w:val="0"/>
          <w:numId w:val="8"/>
        </w:numPr>
        <w:spacing w:line="360" w:lineRule="auto"/>
        <w:jc w:val="both"/>
      </w:pPr>
      <w:r w:rsidRPr="007B608F">
        <w:t xml:space="preserve">In </w:t>
      </w:r>
      <w:r w:rsidRPr="007B608F">
        <w:rPr>
          <w:b/>
          <w:bCs/>
        </w:rPr>
        <w:t>Modiri v Minister of Safety and Security and Others 2011 JOL 27867 (SCA</w:t>
      </w:r>
      <w:r w:rsidRPr="007B608F">
        <w:t>) the court held that:</w:t>
      </w:r>
    </w:p>
    <w:p w:rsidR="00C0649E" w:rsidRPr="007B608F" w:rsidRDefault="00610D85" w:rsidP="00325CE3">
      <w:pPr>
        <w:spacing w:line="360" w:lineRule="auto"/>
        <w:ind w:left="720"/>
        <w:jc w:val="both"/>
        <w:rPr>
          <w:i/>
        </w:rPr>
      </w:pPr>
      <w:r w:rsidRPr="007B608F">
        <w:rPr>
          <w:i/>
        </w:rPr>
        <w:t xml:space="preserve">“Though, generally speaking, it is therefore per se defamatory to say of a person that he or she is suspected of criminal conduct (see </w:t>
      </w:r>
      <w:r w:rsidRPr="007B608F">
        <w:rPr>
          <w:bCs/>
          <w:i/>
        </w:rPr>
        <w:t>eg Hassen v Post Newspapers (Pty) Ltd 1965 (3) SA 562 (W) at 565B-C; Suliman para 31</w:t>
      </w:r>
      <w:r w:rsidRPr="007B608F">
        <w:rPr>
          <w:i/>
        </w:rPr>
        <w:t>), it is not the same as to say that he or she is guilty of that crime. That must be even more so in a case like the present where the published statement made it clear that, despite the fact that the applicant made a full report to the police and corroborated her statement with medical evidence, the police were not even in a position as yet to arrest the suspect because they refused to do anything.”</w:t>
      </w:r>
      <w:r w:rsidRPr="007B608F">
        <w:rPr>
          <w:rStyle w:val="FootnoteReference"/>
          <w:i/>
        </w:rPr>
        <w:footnoteReference w:id="8"/>
      </w:r>
    </w:p>
    <w:p w:rsidR="00610D85" w:rsidRPr="007B608F" w:rsidRDefault="00610D85" w:rsidP="00325CE3">
      <w:pPr>
        <w:numPr>
          <w:ilvl w:val="0"/>
          <w:numId w:val="8"/>
        </w:numPr>
        <w:spacing w:line="360" w:lineRule="auto"/>
      </w:pPr>
      <w:r w:rsidRPr="007B608F">
        <w:t xml:space="preserve">The sting of the publication lay in the allegation that </w:t>
      </w:r>
      <w:r w:rsidR="00C0649E" w:rsidRPr="007B608F">
        <w:t xml:space="preserve">a </w:t>
      </w:r>
      <w:r w:rsidRPr="007B608F">
        <w:t xml:space="preserve">criminal charge </w:t>
      </w:r>
      <w:r w:rsidR="00C0649E" w:rsidRPr="007B608F">
        <w:t>was</w:t>
      </w:r>
      <w:r w:rsidRPr="007B608F">
        <w:t xml:space="preserve"> attempted to be laid, however, due to police inefficiency, a charge was not laid. The publication of the statements did not compromise the administration of justice in that it could potentially interfere with the applicant’s rights as an accused person in a criminal trial. </w:t>
      </w:r>
    </w:p>
    <w:p w:rsidR="00610D85" w:rsidRPr="007B608F" w:rsidRDefault="00610D85" w:rsidP="00325CE3">
      <w:pPr>
        <w:numPr>
          <w:ilvl w:val="0"/>
          <w:numId w:val="8"/>
        </w:numPr>
        <w:spacing w:line="360" w:lineRule="auto"/>
      </w:pPr>
      <w:r w:rsidRPr="007B608F">
        <w:lastRenderedPageBreak/>
        <w:t xml:space="preserve">We submit that there was no real risk that prejudice will occur if publication took place. In making an evaluation, it is not only in the interests of the public that need to be brought into account when publishing those statements, but more importantly, the interests of every person in having access to information. </w:t>
      </w:r>
    </w:p>
    <w:p w:rsidR="00610D85" w:rsidRPr="007B608F" w:rsidRDefault="00610D85" w:rsidP="00325CE3">
      <w:pPr>
        <w:spacing w:line="360" w:lineRule="auto"/>
      </w:pPr>
    </w:p>
    <w:p w:rsidR="00610D85" w:rsidRPr="007B608F" w:rsidRDefault="00610D85" w:rsidP="00325CE3">
      <w:pPr>
        <w:numPr>
          <w:ilvl w:val="0"/>
          <w:numId w:val="8"/>
        </w:numPr>
        <w:spacing w:line="360" w:lineRule="auto"/>
      </w:pPr>
      <w:r w:rsidRPr="007B608F">
        <w:t xml:space="preserve">The applicant proposed that the respondent would have been vindicated by the criminal justice system if the claims were true. As to how publication of these statements might undermine the applicant’s rights to a fair trial, these are mere conjecture and speculations. </w:t>
      </w:r>
    </w:p>
    <w:p w:rsidR="00610D85" w:rsidRPr="007B608F" w:rsidRDefault="00610D85" w:rsidP="00325CE3">
      <w:pPr>
        <w:spacing w:line="360" w:lineRule="auto"/>
      </w:pPr>
    </w:p>
    <w:p w:rsidR="00610D85" w:rsidRPr="007B608F" w:rsidRDefault="00C0649E" w:rsidP="007B608F">
      <w:pPr>
        <w:rPr>
          <w:b/>
          <w:caps/>
        </w:rPr>
      </w:pPr>
      <w:r w:rsidRPr="007B608F">
        <w:rPr>
          <w:b/>
          <w:caps/>
        </w:rPr>
        <w:t>Appropriate remedy</w:t>
      </w:r>
    </w:p>
    <w:p w:rsidR="00610D85" w:rsidRPr="007B608F" w:rsidRDefault="00610D85" w:rsidP="007B608F">
      <w:pPr>
        <w:jc w:val="both"/>
      </w:pPr>
    </w:p>
    <w:p w:rsidR="00610D85" w:rsidRPr="007B608F" w:rsidRDefault="00610D85" w:rsidP="00325CE3">
      <w:pPr>
        <w:numPr>
          <w:ilvl w:val="0"/>
          <w:numId w:val="8"/>
        </w:numPr>
        <w:spacing w:line="360" w:lineRule="auto"/>
        <w:jc w:val="both"/>
      </w:pPr>
      <w:r w:rsidRPr="007B608F">
        <w:t>It has been held that it is lawful to publish a defamatory statement which is fair comment on facts that are true and in matters of public interest, as well as in circumstances where it is reasonably necessary for and relevant to the defence of one's character or reputation.</w:t>
      </w:r>
      <w:r w:rsidRPr="007B608F">
        <w:rPr>
          <w:rStyle w:val="FootnoteReference"/>
        </w:rPr>
        <w:footnoteReference w:id="9"/>
      </w:r>
    </w:p>
    <w:p w:rsidR="00726834" w:rsidRPr="007B608F" w:rsidRDefault="00726834" w:rsidP="00325CE3">
      <w:pPr>
        <w:numPr>
          <w:ilvl w:val="0"/>
          <w:numId w:val="8"/>
        </w:numPr>
        <w:spacing w:line="360" w:lineRule="auto"/>
        <w:jc w:val="both"/>
      </w:pPr>
      <w:r w:rsidRPr="007B608F">
        <w:t>The court in   RM v RB 2015 (1) SA 270 (KZP) held that not every defamatory statement made by the respondent about the applicant would be actionable.</w:t>
      </w:r>
      <w:r w:rsidRPr="007B608F">
        <w:rPr>
          <w:rStyle w:val="FootnoteReference"/>
        </w:rPr>
        <w:footnoteReference w:id="10"/>
      </w:r>
    </w:p>
    <w:p w:rsidR="00610D85" w:rsidRPr="007B608F" w:rsidRDefault="00610D85" w:rsidP="00325CE3">
      <w:pPr>
        <w:numPr>
          <w:ilvl w:val="0"/>
          <w:numId w:val="8"/>
        </w:numPr>
        <w:spacing w:line="360" w:lineRule="auto"/>
        <w:jc w:val="both"/>
      </w:pPr>
      <w:r w:rsidRPr="007B608F">
        <w:t>The courts have no way of knowing for certain that there will be no circumstances in the future that may justify publication about the applicant.'</w:t>
      </w:r>
      <w:r w:rsidRPr="007B608F">
        <w:rPr>
          <w:rStyle w:val="FootnoteReference"/>
        </w:rPr>
        <w:footnoteReference w:id="11"/>
      </w:r>
      <w:r w:rsidR="00726834" w:rsidRPr="007B608F">
        <w:t xml:space="preserve"> </w:t>
      </w:r>
      <w:r w:rsidRPr="007B608F">
        <w:t xml:space="preserve">In today's world the most effective, efficient and immediate way of conveying one's ideas and thoughts is via the internet. At the same time the internet reaches out to millions of people instantaneously. To grant a final interdict order would be a drastic limitation and restraint on the respondent's freedom of expression. </w:t>
      </w:r>
    </w:p>
    <w:p w:rsidR="00610D85" w:rsidRPr="007B608F" w:rsidRDefault="00610D85" w:rsidP="00325CE3">
      <w:pPr>
        <w:spacing w:line="360" w:lineRule="auto"/>
        <w:jc w:val="both"/>
      </w:pPr>
    </w:p>
    <w:p w:rsidR="00726834" w:rsidRDefault="00726834" w:rsidP="007B608F">
      <w:pPr>
        <w:jc w:val="both"/>
        <w:rPr>
          <w:b/>
          <w:caps/>
        </w:rPr>
      </w:pPr>
      <w:r w:rsidRPr="007B608F">
        <w:rPr>
          <w:b/>
          <w:caps/>
        </w:rPr>
        <w:t>The interdict sought would be ineffective</w:t>
      </w:r>
    </w:p>
    <w:p w:rsidR="007B608F" w:rsidRPr="007B608F" w:rsidRDefault="007B608F" w:rsidP="007B608F">
      <w:pPr>
        <w:jc w:val="both"/>
        <w:rPr>
          <w:b/>
          <w:caps/>
        </w:rPr>
      </w:pPr>
    </w:p>
    <w:p w:rsidR="00726834" w:rsidRPr="007B608F" w:rsidRDefault="00610D85" w:rsidP="00325CE3">
      <w:pPr>
        <w:numPr>
          <w:ilvl w:val="0"/>
          <w:numId w:val="8"/>
        </w:numPr>
        <w:spacing w:line="360" w:lineRule="auto"/>
        <w:jc w:val="both"/>
      </w:pPr>
      <w:r w:rsidRPr="007B608F">
        <w:t xml:space="preserve">The question remains whether the applicant has satisfied the requisites for a final interdict. In </w:t>
      </w:r>
      <w:r w:rsidRPr="007B608F">
        <w:rPr>
          <w:b/>
          <w:bCs/>
        </w:rPr>
        <w:t>Setlogelo v Setlogelo 1914 AD 221 at 227</w:t>
      </w:r>
      <w:r w:rsidRPr="007B608F">
        <w:t xml:space="preserve"> the court held that all the requisites must be present before an interdict can be granted. Which are (a) a clear right on the part of the applicant; (b) an injury actually committed or reasonably apprehended; and (c) the absence of</w:t>
      </w:r>
      <w:r w:rsidR="00726834" w:rsidRPr="007B608F">
        <w:t xml:space="preserve"> any other satisfactory remedy.</w:t>
      </w:r>
    </w:p>
    <w:p w:rsidR="00610D85" w:rsidRPr="007B608F" w:rsidRDefault="00610D85" w:rsidP="00325CE3">
      <w:pPr>
        <w:numPr>
          <w:ilvl w:val="0"/>
          <w:numId w:val="8"/>
        </w:numPr>
        <w:spacing w:line="360" w:lineRule="auto"/>
        <w:jc w:val="both"/>
      </w:pPr>
      <w:r w:rsidRPr="007B608F">
        <w:t xml:space="preserve">The court held that an interdict should be granted only in the absence of similar protection by any other ordinary remedy. The allegations which the applicant seeks to keep out of the public domain have long since been published. </w:t>
      </w:r>
      <w:r w:rsidR="00726834" w:rsidRPr="007B608F">
        <w:t xml:space="preserve">The order sought by the applicants simply cannot be effective. </w:t>
      </w:r>
      <w:r w:rsidRPr="007B608F">
        <w:t xml:space="preserve">Moreover, if the applicant suffered any harm as a result of the publication, such harm cannot be undone by granting an order. If the publication rendered </w:t>
      </w:r>
      <w:r w:rsidRPr="007B608F">
        <w:lastRenderedPageBreak/>
        <w:t>the applicant entitled to any relief, then such relief should have been sought in an action for damages.</w:t>
      </w:r>
    </w:p>
    <w:p w:rsidR="00F259F6" w:rsidRPr="007B608F" w:rsidRDefault="00610D85" w:rsidP="00325CE3">
      <w:pPr>
        <w:numPr>
          <w:ilvl w:val="0"/>
          <w:numId w:val="8"/>
        </w:numPr>
        <w:spacing w:line="360" w:lineRule="auto"/>
        <w:jc w:val="both"/>
      </w:pPr>
      <w:r w:rsidRPr="007B608F">
        <w:t xml:space="preserve">Further, the respondent is not the only objector. The applicant fails to show that it is the respondent’s individual </w:t>
      </w:r>
      <w:r w:rsidR="00726834" w:rsidRPr="007B608F">
        <w:t xml:space="preserve">assertions </w:t>
      </w:r>
      <w:r w:rsidRPr="007B608F">
        <w:t xml:space="preserve">as opposed to combined objections of all the objectors which caused the defamation. In South African law, </w:t>
      </w:r>
      <w:r w:rsidR="00726834" w:rsidRPr="007B608F">
        <w:t>assertions</w:t>
      </w:r>
      <w:r w:rsidRPr="007B608F">
        <w:t xml:space="preserve"> qualifying as fair comment are in reality just </w:t>
      </w:r>
      <w:r w:rsidR="00726834" w:rsidRPr="007B608F">
        <w:t>assertions</w:t>
      </w:r>
      <w:r w:rsidRPr="007B608F">
        <w:t xml:space="preserve"> made with the intention that they be non-authorative. </w:t>
      </w:r>
    </w:p>
    <w:p w:rsidR="00F259F6" w:rsidRPr="007B608F" w:rsidRDefault="00F259F6" w:rsidP="00325CE3">
      <w:pPr>
        <w:numPr>
          <w:ilvl w:val="0"/>
          <w:numId w:val="8"/>
        </w:numPr>
        <w:spacing w:line="360" w:lineRule="auto"/>
        <w:jc w:val="both"/>
      </w:pPr>
      <w:r w:rsidRPr="007B608F">
        <w:t>We submit that the application for an interdict is an incorrect procedure because should the respondent have to prove the truthfulness of her statements or the applicant be required to prove the falsehood of such statements</w:t>
      </w:r>
      <w:r w:rsidR="00726834" w:rsidRPr="007B608F">
        <w:t>,</w:t>
      </w:r>
      <w:r w:rsidRPr="007B608F">
        <w:t xml:space="preserve"> evidence would have to be led.   </w:t>
      </w:r>
    </w:p>
    <w:p w:rsidR="00726834" w:rsidRPr="007B608F" w:rsidRDefault="00610D85" w:rsidP="00325CE3">
      <w:pPr>
        <w:numPr>
          <w:ilvl w:val="0"/>
          <w:numId w:val="8"/>
        </w:numPr>
        <w:spacing w:line="360" w:lineRule="auto"/>
        <w:jc w:val="both"/>
      </w:pPr>
      <w:r w:rsidRPr="007B608F">
        <w:t xml:space="preserve">In terms of the </w:t>
      </w:r>
      <w:r w:rsidRPr="007B608F">
        <w:rPr>
          <w:bCs/>
        </w:rPr>
        <w:t>Plascon-Evans rule</w:t>
      </w:r>
      <w:r w:rsidRPr="007B608F">
        <w:rPr>
          <w:rStyle w:val="FootnoteReference"/>
        </w:rPr>
        <w:footnoteReference w:id="12"/>
      </w:r>
      <w:r w:rsidRPr="007B608F">
        <w:t xml:space="preserve">, where disputes of fact arise on the applicants affidavit, which have been admitted by the respondent, together with the facts set out by the respondent, justify such an order. </w:t>
      </w:r>
    </w:p>
    <w:p w:rsidR="00726834" w:rsidRPr="007B608F" w:rsidRDefault="00F259F6" w:rsidP="00325CE3">
      <w:pPr>
        <w:numPr>
          <w:ilvl w:val="0"/>
          <w:numId w:val="8"/>
        </w:numPr>
        <w:spacing w:line="360" w:lineRule="auto"/>
        <w:jc w:val="both"/>
      </w:pPr>
      <w:r w:rsidRPr="007B608F">
        <w:t>The applicant refutes the respondent contention that he rape her. He dismisses her statements as weak. In order for the respondent to rebut these contentions, evidence will need to be led. The respondent has evidence to prove that the applicant is guilty of the crime – she has medical evidence as well as the testimonies of other victims of the applicant</w:t>
      </w:r>
      <w:r w:rsidR="00726834" w:rsidRPr="007B608F">
        <w:t>.</w:t>
      </w:r>
      <w:r w:rsidRPr="007B608F">
        <w:t xml:space="preserve"> </w:t>
      </w:r>
      <w:r w:rsidR="00726834" w:rsidRPr="007B608F">
        <w:t>This has not been proven in a court of law: in that respect we submit that the application procedure which the applicant has pursued does not allow for the advancement of evidence</w:t>
      </w:r>
    </w:p>
    <w:p w:rsidR="00610D85" w:rsidRPr="007B608F" w:rsidRDefault="00610D85" w:rsidP="00325CE3">
      <w:pPr>
        <w:numPr>
          <w:ilvl w:val="0"/>
          <w:numId w:val="8"/>
        </w:numPr>
        <w:spacing w:line="360" w:lineRule="auto"/>
        <w:jc w:val="both"/>
      </w:pPr>
      <w:r w:rsidRPr="007B608F">
        <w:t>We submit that the application does not satisfy the rule as further evidence will need to be led in this regard, and we respectfully submit that the court must not grant the order</w:t>
      </w:r>
      <w:r w:rsidR="00726834" w:rsidRPr="007B608F">
        <w:t>.</w:t>
      </w:r>
    </w:p>
    <w:p w:rsidR="00610D85" w:rsidRPr="007B608F" w:rsidRDefault="00610D85" w:rsidP="00325CE3">
      <w:pPr>
        <w:spacing w:line="360" w:lineRule="auto"/>
        <w:jc w:val="both"/>
        <w:rPr>
          <w:b/>
          <w:bCs/>
        </w:rPr>
      </w:pPr>
    </w:p>
    <w:p w:rsidR="00610D85" w:rsidRDefault="00610D85" w:rsidP="007B608F">
      <w:pPr>
        <w:jc w:val="both"/>
        <w:rPr>
          <w:b/>
          <w:bCs/>
        </w:rPr>
      </w:pPr>
      <w:r w:rsidRPr="007B608F">
        <w:rPr>
          <w:b/>
          <w:bCs/>
        </w:rPr>
        <w:t>COSTS</w:t>
      </w:r>
    </w:p>
    <w:p w:rsidR="007B608F" w:rsidRPr="007B608F" w:rsidRDefault="007B608F" w:rsidP="007B608F">
      <w:pPr>
        <w:jc w:val="both"/>
        <w:rPr>
          <w:b/>
          <w:bCs/>
        </w:rPr>
      </w:pPr>
    </w:p>
    <w:p w:rsidR="00610D85" w:rsidRPr="007B608F" w:rsidRDefault="00610D85" w:rsidP="00325CE3">
      <w:pPr>
        <w:numPr>
          <w:ilvl w:val="0"/>
          <w:numId w:val="8"/>
        </w:numPr>
        <w:spacing w:line="360" w:lineRule="auto"/>
        <w:jc w:val="both"/>
      </w:pPr>
      <w:r w:rsidRPr="007B608F">
        <w:t>The Applicants should pay the cost of this</w:t>
      </w:r>
      <w:r w:rsidR="00726834" w:rsidRPr="007B608F">
        <w:t xml:space="preserve"> Application on the scale of </w:t>
      </w:r>
      <w:r w:rsidRPr="007B608F">
        <w:t>attorney and client</w:t>
      </w:r>
    </w:p>
    <w:p w:rsidR="007B608F" w:rsidRDefault="007B608F" w:rsidP="00325CE3">
      <w:pPr>
        <w:spacing w:line="360" w:lineRule="auto"/>
        <w:jc w:val="both"/>
        <w:rPr>
          <w:b/>
          <w:bCs/>
        </w:rPr>
      </w:pPr>
    </w:p>
    <w:p w:rsidR="00610D85" w:rsidRDefault="00610D85" w:rsidP="007B608F">
      <w:pPr>
        <w:jc w:val="both"/>
        <w:rPr>
          <w:b/>
          <w:bCs/>
        </w:rPr>
      </w:pPr>
      <w:r w:rsidRPr="007B608F">
        <w:rPr>
          <w:b/>
          <w:bCs/>
        </w:rPr>
        <w:t>CONCLUSION</w:t>
      </w:r>
    </w:p>
    <w:p w:rsidR="007B608F" w:rsidRPr="007B608F" w:rsidRDefault="007B608F" w:rsidP="007B608F">
      <w:pPr>
        <w:jc w:val="both"/>
        <w:rPr>
          <w:b/>
          <w:bCs/>
        </w:rPr>
      </w:pPr>
    </w:p>
    <w:p w:rsidR="00610D85" w:rsidRPr="007B608F" w:rsidRDefault="00610D85" w:rsidP="007B608F">
      <w:pPr>
        <w:numPr>
          <w:ilvl w:val="0"/>
          <w:numId w:val="8"/>
        </w:numPr>
        <w:spacing w:line="360" w:lineRule="auto"/>
        <w:jc w:val="both"/>
      </w:pPr>
      <w:r w:rsidRPr="007B608F">
        <w:t>It is finally submitted that the Applicants' applicatio</w:t>
      </w:r>
      <w:r w:rsidR="00726834" w:rsidRPr="007B608F">
        <w:t xml:space="preserve">n for the relief sought </w:t>
      </w:r>
      <w:r w:rsidR="00726834" w:rsidRPr="007B608F">
        <w:tab/>
        <w:t>should</w:t>
      </w:r>
      <w:r w:rsidR="007B608F">
        <w:t xml:space="preserve"> </w:t>
      </w:r>
      <w:r w:rsidRPr="007B608F">
        <w:t>be dismissed with cost on the scale of attorney and client.</w:t>
      </w:r>
    </w:p>
    <w:p w:rsidR="00610D85" w:rsidRDefault="00610D85" w:rsidP="00325CE3">
      <w:pPr>
        <w:spacing w:line="360" w:lineRule="auto"/>
        <w:jc w:val="both"/>
      </w:pPr>
    </w:p>
    <w:p w:rsidR="00117B2B" w:rsidRDefault="00117B2B" w:rsidP="00325CE3">
      <w:pPr>
        <w:spacing w:line="360" w:lineRule="auto"/>
        <w:jc w:val="both"/>
      </w:pPr>
    </w:p>
    <w:p w:rsidR="00117B2B" w:rsidRDefault="00117B2B" w:rsidP="00325CE3">
      <w:pPr>
        <w:spacing w:line="360" w:lineRule="auto"/>
        <w:jc w:val="both"/>
      </w:pPr>
    </w:p>
    <w:p w:rsidR="00117B2B" w:rsidRDefault="00117B2B" w:rsidP="00325CE3">
      <w:pPr>
        <w:spacing w:line="360" w:lineRule="auto"/>
        <w:jc w:val="both"/>
      </w:pPr>
    </w:p>
    <w:p w:rsidR="00117B2B" w:rsidRDefault="00117B2B" w:rsidP="00325CE3">
      <w:pPr>
        <w:spacing w:line="360" w:lineRule="auto"/>
        <w:jc w:val="both"/>
      </w:pPr>
    </w:p>
    <w:p w:rsidR="00117B2B" w:rsidRPr="00117B2B" w:rsidRDefault="00117B2B" w:rsidP="00325CE3">
      <w:pPr>
        <w:spacing w:line="360" w:lineRule="auto"/>
        <w:jc w:val="both"/>
        <w:rPr>
          <w:b/>
        </w:rPr>
      </w:pPr>
      <w:r w:rsidRPr="00117B2B">
        <w:rPr>
          <w:b/>
        </w:rPr>
        <w:lastRenderedPageBreak/>
        <w:t>References</w:t>
      </w:r>
    </w:p>
    <w:p w:rsidR="00117B2B" w:rsidRPr="00117B2B" w:rsidRDefault="00117B2B" w:rsidP="00117B2B">
      <w:pPr>
        <w:spacing w:after="160" w:line="259" w:lineRule="auto"/>
        <w:rPr>
          <w:rFonts w:eastAsiaTheme="minorHAnsi"/>
          <w:b/>
          <w:lang w:val="en-US" w:eastAsia="en-US"/>
        </w:rPr>
      </w:pPr>
      <w:r w:rsidRPr="00117B2B">
        <w:rPr>
          <w:rFonts w:eastAsiaTheme="minorHAnsi"/>
          <w:b/>
          <w:lang w:val="en-US" w:eastAsia="en-US"/>
        </w:rPr>
        <w:t>Legislation:</w:t>
      </w:r>
    </w:p>
    <w:p w:rsidR="00117B2B" w:rsidRPr="00117B2B" w:rsidRDefault="00117B2B" w:rsidP="00117B2B">
      <w:pPr>
        <w:spacing w:after="160" w:line="259" w:lineRule="auto"/>
        <w:rPr>
          <w:rFonts w:eastAsiaTheme="minorHAnsi"/>
          <w:lang w:val="en-US" w:eastAsia="en-US"/>
        </w:rPr>
      </w:pPr>
      <w:r w:rsidRPr="00117B2B">
        <w:rPr>
          <w:rFonts w:eastAsiaTheme="minorHAnsi"/>
          <w:lang w:val="en-US" w:eastAsia="en-US"/>
        </w:rPr>
        <w:t>The Constitution of the Republic of South Africa, 1996</w:t>
      </w:r>
    </w:p>
    <w:p w:rsidR="00117B2B" w:rsidRPr="00117B2B" w:rsidRDefault="00117B2B" w:rsidP="00117B2B">
      <w:pPr>
        <w:spacing w:after="160" w:line="259" w:lineRule="auto"/>
        <w:rPr>
          <w:rFonts w:eastAsiaTheme="minorHAnsi"/>
          <w:lang w:val="en-US" w:eastAsia="en-US"/>
        </w:rPr>
      </w:pPr>
      <w:r w:rsidRPr="00117B2B">
        <w:rPr>
          <w:rFonts w:eastAsiaTheme="minorHAnsi"/>
          <w:lang w:val="en-US" w:eastAsia="en-US"/>
        </w:rPr>
        <w:t>International Law:</w:t>
      </w:r>
    </w:p>
    <w:p w:rsidR="00117B2B" w:rsidRPr="00117B2B" w:rsidRDefault="00117B2B" w:rsidP="00117B2B">
      <w:pPr>
        <w:numPr>
          <w:ilvl w:val="0"/>
          <w:numId w:val="40"/>
        </w:numPr>
        <w:spacing w:after="160" w:line="259" w:lineRule="auto"/>
        <w:contextualSpacing/>
        <w:rPr>
          <w:rFonts w:eastAsiaTheme="minorHAnsi"/>
          <w:lang w:val="en-US" w:eastAsia="en-US"/>
        </w:rPr>
      </w:pPr>
      <w:r w:rsidRPr="00117B2B">
        <w:rPr>
          <w:rFonts w:eastAsiaTheme="minorHAnsi"/>
          <w:sz w:val="22"/>
          <w:szCs w:val="22"/>
          <w:lang w:val="en-US" w:eastAsia="en-US"/>
        </w:rPr>
        <w:t>Article 10 of the European Convention on Human Rights (ECHR)</w:t>
      </w:r>
    </w:p>
    <w:p w:rsidR="00117B2B" w:rsidRPr="00117B2B" w:rsidRDefault="00117B2B" w:rsidP="00117B2B">
      <w:pPr>
        <w:numPr>
          <w:ilvl w:val="0"/>
          <w:numId w:val="40"/>
        </w:numPr>
        <w:spacing w:after="160" w:line="259" w:lineRule="auto"/>
        <w:contextualSpacing/>
        <w:rPr>
          <w:rFonts w:eastAsiaTheme="minorHAnsi"/>
          <w:lang w:val="en-US" w:eastAsia="en-US"/>
        </w:rPr>
      </w:pPr>
      <w:r w:rsidRPr="00117B2B">
        <w:rPr>
          <w:rFonts w:eastAsiaTheme="minorHAnsi"/>
          <w:sz w:val="22"/>
          <w:szCs w:val="22"/>
          <w:lang w:val="en-US" w:eastAsia="en-US"/>
        </w:rPr>
        <w:t>Article 19 of the 1948 Universal Declaration of Human Rights (UDHR)</w:t>
      </w:r>
    </w:p>
    <w:p w:rsidR="00117B2B" w:rsidRPr="00117B2B" w:rsidRDefault="00117B2B" w:rsidP="00117B2B">
      <w:pPr>
        <w:spacing w:after="160" w:line="259" w:lineRule="auto"/>
        <w:rPr>
          <w:rFonts w:eastAsiaTheme="minorHAnsi"/>
          <w:b/>
          <w:lang w:val="en-US" w:eastAsia="en-US"/>
        </w:rPr>
      </w:pPr>
      <w:r w:rsidRPr="00117B2B">
        <w:rPr>
          <w:rFonts w:eastAsiaTheme="minorHAnsi"/>
          <w:b/>
          <w:lang w:val="en-US" w:eastAsia="en-US"/>
        </w:rPr>
        <w:t>Case Law:</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ZA" w:eastAsia="en-US"/>
        </w:rPr>
        <w:t>Khumalo v Holomisa 2002 5 SA 401 (CC)</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ZA" w:eastAsia="en-US"/>
        </w:rPr>
        <w:t>National Media ltd and Others v Bogoshi 1998 ((4) SA 1196 (SCA)</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ZA" w:eastAsia="en-US"/>
        </w:rPr>
        <w:t>Cele v Avusa Media Limited [2013] 2 All SA 412 (GSJ)</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iCs/>
          <w:lang w:val="en-US" w:eastAsia="en-ZA"/>
        </w:rPr>
        <w:t>Argus Printing and Publishing Co</w:t>
      </w:r>
      <w:r>
        <w:rPr>
          <w:rFonts w:eastAsiaTheme="minorHAnsi"/>
          <w:shd w:val="clear" w:color="auto" w:fill="C0C0C0"/>
          <w:lang w:val="en-US" w:eastAsia="en-ZA"/>
        </w:rPr>
        <w:t xml:space="preserve"> </w:t>
      </w:r>
      <w:bookmarkStart w:id="1" w:name="_GoBack"/>
      <w:bookmarkEnd w:id="1"/>
      <w:r w:rsidRPr="00117B2B">
        <w:rPr>
          <w:rFonts w:eastAsiaTheme="minorHAnsi"/>
          <w:iCs/>
          <w:lang w:val="en-US" w:eastAsia="en-ZA"/>
        </w:rPr>
        <w:t>Ltd v Inkatha Freedom Party</w:t>
      </w:r>
      <w:r w:rsidRPr="00117B2B">
        <w:rPr>
          <w:rFonts w:eastAsiaTheme="minorHAnsi"/>
          <w:lang w:val="en-US" w:eastAsia="en-ZA"/>
        </w:rPr>
        <w:t xml:space="preserve"> 1992 (3) SA 579 (A)</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H v W [2013] 12 SA 10142 (HC)</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Independent Newspaper Holdings Limited v Suliman [2004] 3 All SA 137 (SCA)</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Mirror Newspapers v Harrison [1982] HCA 50; (1982) 42 ALR 487 (HC of A)</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Modiri v Minister of Safety and Security and Others 2011 JOL 27867 (SCA)</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Hassen v Post Newspapers (Pty) Ltd 1965 (3) SA 562 (W)</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Setlogelo v Setlogelo 1914 AD 221</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RM v RB 2015 (1) SA 270 (KZP)</w:t>
      </w:r>
    </w:p>
    <w:p w:rsidR="00117B2B" w:rsidRPr="00117B2B" w:rsidRDefault="00117B2B" w:rsidP="00117B2B">
      <w:pPr>
        <w:numPr>
          <w:ilvl w:val="0"/>
          <w:numId w:val="41"/>
        </w:numPr>
        <w:spacing w:after="160" w:line="259" w:lineRule="auto"/>
        <w:contextualSpacing/>
        <w:rPr>
          <w:rFonts w:eastAsiaTheme="minorHAnsi"/>
          <w:lang w:val="en-US" w:eastAsia="en-US"/>
        </w:rPr>
      </w:pPr>
      <w:r w:rsidRPr="00117B2B">
        <w:rPr>
          <w:rFonts w:eastAsiaTheme="minorHAnsi"/>
          <w:lang w:val="en-US" w:eastAsia="en-US"/>
        </w:rPr>
        <w:t>Plascon-Evans Paints (TVL) Ltd. v Van Riebeck Paints (Pty) Ltd. (53/84) [1984] ZASCA</w:t>
      </w:r>
    </w:p>
    <w:p w:rsidR="00117B2B" w:rsidRPr="00117B2B" w:rsidRDefault="00117B2B" w:rsidP="00117B2B">
      <w:pPr>
        <w:spacing w:after="160" w:line="259" w:lineRule="auto"/>
        <w:rPr>
          <w:rFonts w:eastAsiaTheme="minorHAnsi"/>
          <w:b/>
          <w:lang w:val="en-US" w:eastAsia="en-US"/>
        </w:rPr>
      </w:pPr>
      <w:r w:rsidRPr="00117B2B">
        <w:rPr>
          <w:rFonts w:eastAsiaTheme="minorHAnsi"/>
          <w:b/>
          <w:lang w:val="en-US" w:eastAsia="en-US"/>
        </w:rPr>
        <w:t>Legal writing:</w:t>
      </w:r>
    </w:p>
    <w:p w:rsidR="00117B2B" w:rsidRPr="00117B2B" w:rsidRDefault="00117B2B" w:rsidP="00117B2B">
      <w:pPr>
        <w:numPr>
          <w:ilvl w:val="0"/>
          <w:numId w:val="41"/>
        </w:numPr>
        <w:spacing w:after="160" w:line="259" w:lineRule="auto"/>
        <w:contextualSpacing/>
        <w:rPr>
          <w:rFonts w:eastAsiaTheme="minorHAnsi"/>
          <w:b/>
          <w:lang w:val="en-US" w:eastAsia="en-US"/>
        </w:rPr>
      </w:pPr>
      <w:r w:rsidRPr="00117B2B">
        <w:rPr>
          <w:rFonts w:eastAsiaTheme="minorHAnsi"/>
          <w:lang w:val="en-ZA" w:eastAsia="en-US"/>
        </w:rPr>
        <w:t>Neethling and Potgieter Neethling and Potgieter and Vissiers Law of Delict (6</w:t>
      </w:r>
      <w:r w:rsidRPr="00117B2B">
        <w:rPr>
          <w:rFonts w:eastAsiaTheme="minorHAnsi"/>
          <w:vertAlign w:val="superscript"/>
          <w:lang w:val="en-ZA" w:eastAsia="en-US"/>
        </w:rPr>
        <w:t>th</w:t>
      </w:r>
      <w:r w:rsidRPr="00117B2B">
        <w:rPr>
          <w:rFonts w:eastAsiaTheme="minorHAnsi"/>
          <w:lang w:val="en-ZA" w:eastAsia="en-US"/>
        </w:rPr>
        <w:t xml:space="preserve"> Edition) Butterworths 2006</w:t>
      </w:r>
    </w:p>
    <w:p w:rsidR="00117B2B" w:rsidRPr="00117B2B" w:rsidRDefault="00117B2B" w:rsidP="00117B2B">
      <w:pPr>
        <w:numPr>
          <w:ilvl w:val="0"/>
          <w:numId w:val="41"/>
        </w:numPr>
        <w:spacing w:after="160" w:line="259" w:lineRule="auto"/>
        <w:contextualSpacing/>
        <w:rPr>
          <w:rFonts w:eastAsiaTheme="minorHAnsi"/>
          <w:b/>
          <w:lang w:val="en-US" w:eastAsia="en-US"/>
        </w:rPr>
      </w:pPr>
      <w:r w:rsidRPr="00117B2B">
        <w:rPr>
          <w:rFonts w:eastAsiaTheme="minorHAnsi"/>
          <w:lang w:val="en-ZA" w:eastAsia="en-US"/>
        </w:rPr>
        <w:t>Quantitave research findings on Rape in South Africa Statistics South Africa 2000 Dr FM Orkin</w:t>
      </w:r>
    </w:p>
    <w:p w:rsidR="00117B2B" w:rsidRPr="00117B2B" w:rsidRDefault="00117B2B" w:rsidP="00325CE3">
      <w:pPr>
        <w:spacing w:line="360" w:lineRule="auto"/>
        <w:jc w:val="both"/>
        <w:rPr>
          <w:b/>
        </w:rPr>
      </w:pPr>
    </w:p>
    <w:p w:rsidR="00610D85" w:rsidRPr="007B608F" w:rsidRDefault="00610D85" w:rsidP="00325CE3">
      <w:pPr>
        <w:spacing w:line="360" w:lineRule="auto"/>
        <w:jc w:val="both"/>
      </w:pPr>
    </w:p>
    <w:sectPr w:rsidR="00610D85" w:rsidRPr="007B608F" w:rsidSect="007B608F">
      <w:footerReference w:type="default" r:id="rId7"/>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F7" w:rsidRDefault="000423F7">
      <w:r>
        <w:separator/>
      </w:r>
    </w:p>
  </w:endnote>
  <w:endnote w:type="continuationSeparator" w:id="0">
    <w:p w:rsidR="000423F7" w:rsidRDefault="0004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85" w:rsidRDefault="00610D85" w:rsidP="004C51C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B2B">
      <w:rPr>
        <w:rStyle w:val="PageNumber"/>
        <w:noProof/>
      </w:rPr>
      <w:t>11</w:t>
    </w:r>
    <w:r>
      <w:rPr>
        <w:rStyle w:val="PageNumber"/>
      </w:rPr>
      <w:fldChar w:fldCharType="end"/>
    </w:r>
  </w:p>
  <w:p w:rsidR="00610D85" w:rsidRDefault="00610D85" w:rsidP="006B3C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F7" w:rsidRDefault="000423F7">
      <w:r>
        <w:separator/>
      </w:r>
    </w:p>
  </w:footnote>
  <w:footnote w:type="continuationSeparator" w:id="0">
    <w:p w:rsidR="000423F7" w:rsidRDefault="000423F7">
      <w:r>
        <w:continuationSeparator/>
      </w:r>
    </w:p>
  </w:footnote>
  <w:footnote w:id="1">
    <w:p w:rsidR="00610D85" w:rsidRDefault="00610D85" w:rsidP="006D6564">
      <w:pPr>
        <w:pStyle w:val="FootnoteText"/>
      </w:pPr>
      <w:r w:rsidRPr="00011FF2">
        <w:rPr>
          <w:rStyle w:val="FootnoteReference"/>
          <w:rFonts w:ascii="Arial" w:hAnsi="Arial" w:cs="Arial"/>
          <w:sz w:val="18"/>
          <w:szCs w:val="18"/>
        </w:rPr>
        <w:footnoteRef/>
      </w:r>
      <w:r w:rsidRPr="00011FF2">
        <w:rPr>
          <w:rFonts w:ascii="Arial" w:hAnsi="Arial" w:cs="Arial"/>
          <w:sz w:val="18"/>
          <w:szCs w:val="18"/>
        </w:rPr>
        <w:t xml:space="preserve"> Section 10 of the Constitution of the Republic of South Africa, 1996</w:t>
      </w:r>
    </w:p>
  </w:footnote>
  <w:footnote w:id="2">
    <w:p w:rsidR="00610D85" w:rsidRDefault="00610D85">
      <w:pPr>
        <w:pStyle w:val="FootnoteText"/>
      </w:pPr>
      <w:r>
        <w:rPr>
          <w:rStyle w:val="FootnoteReference"/>
        </w:rPr>
        <w:footnoteRef/>
      </w:r>
      <w:r>
        <w:t xml:space="preserve"> </w:t>
      </w:r>
      <w:r>
        <w:rPr>
          <w:lang w:val="en-ZA"/>
        </w:rPr>
        <w:t>Universal Declaration of Human Rights, UNGA, 17948</w:t>
      </w:r>
    </w:p>
  </w:footnote>
  <w:footnote w:id="3">
    <w:p w:rsidR="00610D85" w:rsidRDefault="00610D85">
      <w:pPr>
        <w:pStyle w:val="FootnoteText"/>
      </w:pPr>
      <w:r>
        <w:rPr>
          <w:rStyle w:val="FootnoteReference"/>
        </w:rPr>
        <w:footnoteRef/>
      </w:r>
      <w:r>
        <w:t xml:space="preserve"> </w:t>
      </w:r>
      <w:r>
        <w:rPr>
          <w:lang w:val="en-ZA"/>
        </w:rPr>
        <w:t>Neethling and Potgieter Neethling and Potgieter and Vissiers Law of Delict (6</w:t>
      </w:r>
      <w:r w:rsidRPr="0002093D">
        <w:rPr>
          <w:vertAlign w:val="superscript"/>
          <w:lang w:val="en-ZA"/>
        </w:rPr>
        <w:t>th</w:t>
      </w:r>
      <w:r>
        <w:rPr>
          <w:lang w:val="en-ZA"/>
        </w:rPr>
        <w:t xml:space="preserve"> Edition) Butterworths 2006</w:t>
      </w:r>
    </w:p>
  </w:footnote>
  <w:footnote w:id="4">
    <w:p w:rsidR="00610D85" w:rsidRPr="007617C1" w:rsidRDefault="00610D85" w:rsidP="004E21B7">
      <w:pPr>
        <w:pStyle w:val="FootnoteText"/>
        <w:rPr>
          <w:b/>
          <w:bCs/>
          <w:lang w:val="en-ZA"/>
        </w:rPr>
      </w:pPr>
      <w:r>
        <w:rPr>
          <w:rStyle w:val="FootnoteReference"/>
        </w:rPr>
        <w:footnoteRef/>
      </w:r>
      <w:r>
        <w:t xml:space="preserve"> </w:t>
      </w:r>
      <w:r w:rsidRPr="00B34492">
        <w:rPr>
          <w:vanish/>
          <w:lang w:val="en-ZA"/>
        </w:rPr>
        <w:t>[zRPz]</w:t>
      </w:r>
      <w:bookmarkStart w:id="0" w:name="BM0_0_0_60149"/>
      <w:bookmarkEnd w:id="0"/>
      <w:r w:rsidRPr="00B34492">
        <w:rPr>
          <w:lang w:val="en-ZA"/>
        </w:rPr>
        <w:t>National Media ltd and Others v Bogoshi (4) SA 1196 (SCA)</w:t>
      </w:r>
    </w:p>
    <w:p w:rsidR="00610D85" w:rsidRDefault="00610D85" w:rsidP="004E21B7">
      <w:pPr>
        <w:pStyle w:val="FootnoteText"/>
      </w:pPr>
    </w:p>
  </w:footnote>
  <w:footnote w:id="5">
    <w:p w:rsidR="00610D85" w:rsidRDefault="00610D85">
      <w:pPr>
        <w:pStyle w:val="FootnoteText"/>
      </w:pPr>
      <w:r>
        <w:rPr>
          <w:rStyle w:val="FootnoteReference"/>
        </w:rPr>
        <w:footnoteRef/>
      </w:r>
      <w:r>
        <w:t xml:space="preserve"> </w:t>
      </w:r>
      <w:r w:rsidRPr="002C1FF5">
        <w:t>Cele v Avusa Media Limited</w:t>
      </w:r>
    </w:p>
  </w:footnote>
  <w:footnote w:id="6">
    <w:p w:rsidR="00610D85" w:rsidRDefault="00610D85">
      <w:pPr>
        <w:pStyle w:val="FootnoteText"/>
      </w:pPr>
      <w:r>
        <w:rPr>
          <w:rStyle w:val="FootnoteReference"/>
        </w:rPr>
        <w:footnoteRef/>
      </w:r>
      <w:r>
        <w:t xml:space="preserve">  </w:t>
      </w:r>
      <w:r>
        <w:rPr>
          <w:lang w:val="en-ZA"/>
        </w:rPr>
        <w:t>Quantitave research findings on Rape in South Africa Statistics South Africa 2000 Dr FM Orkin</w:t>
      </w:r>
    </w:p>
  </w:footnote>
  <w:footnote w:id="7">
    <w:p w:rsidR="00610D85" w:rsidRDefault="00610D85">
      <w:pPr>
        <w:pStyle w:val="FootnoteText"/>
      </w:pPr>
      <w:r>
        <w:rPr>
          <w:rStyle w:val="FootnoteReference"/>
        </w:rPr>
        <w:footnoteRef/>
      </w:r>
      <w:r>
        <w:t xml:space="preserve"> </w:t>
      </w:r>
      <w:r>
        <w:rPr>
          <w:lang w:val="en-ZA"/>
        </w:rPr>
        <w:t>Quantitave research findings on Rape in South Africa Statistics South Africa 2000 Dr FM Orkin</w:t>
      </w:r>
    </w:p>
  </w:footnote>
  <w:footnote w:id="8">
    <w:p w:rsidR="00610D85" w:rsidRDefault="00610D85">
      <w:pPr>
        <w:pStyle w:val="FootnoteText"/>
      </w:pPr>
      <w:r>
        <w:rPr>
          <w:rStyle w:val="FootnoteReference"/>
        </w:rPr>
        <w:footnoteRef/>
      </w:r>
      <w:r>
        <w:t xml:space="preserve"> </w:t>
      </w:r>
      <w:r>
        <w:rPr>
          <w:lang w:val="en-ZA"/>
        </w:rPr>
        <w:t>Modiri v Minister of Safety and Security and Others 2011 JOL 27867 (SCA)</w:t>
      </w:r>
    </w:p>
  </w:footnote>
  <w:footnote w:id="9">
    <w:p w:rsidR="00610D85" w:rsidRDefault="00610D85">
      <w:pPr>
        <w:pStyle w:val="FootnoteText"/>
      </w:pPr>
      <w:r>
        <w:rPr>
          <w:rStyle w:val="FootnoteReference"/>
        </w:rPr>
        <w:footnoteRef/>
      </w:r>
      <w:r>
        <w:t xml:space="preserve"> </w:t>
      </w:r>
      <w:r w:rsidRPr="00B01D43">
        <w:t>RM v RB 2015 (1) SA 270 (KZP) A</w:t>
      </w:r>
    </w:p>
  </w:footnote>
  <w:footnote w:id="10">
    <w:p w:rsidR="00726834" w:rsidRDefault="00726834" w:rsidP="00726834">
      <w:pPr>
        <w:pStyle w:val="FootnoteText"/>
      </w:pPr>
      <w:r>
        <w:rPr>
          <w:rStyle w:val="FootnoteReference"/>
        </w:rPr>
        <w:footnoteRef/>
      </w:r>
      <w:r>
        <w:t xml:space="preserve"> </w:t>
      </w:r>
      <w:r w:rsidRPr="003E239F">
        <w:t>RM v RB 2015 (1) SA 270 (KZP) A</w:t>
      </w:r>
    </w:p>
  </w:footnote>
  <w:footnote w:id="11">
    <w:p w:rsidR="00610D85" w:rsidRDefault="00610D85">
      <w:pPr>
        <w:pStyle w:val="FootnoteText"/>
      </w:pPr>
      <w:r>
        <w:rPr>
          <w:rStyle w:val="FootnoteReference"/>
        </w:rPr>
        <w:footnoteRef/>
      </w:r>
      <w:r>
        <w:t xml:space="preserve"> </w:t>
      </w:r>
      <w:r w:rsidRPr="003E239F">
        <w:t>H v W</w:t>
      </w:r>
    </w:p>
  </w:footnote>
  <w:footnote w:id="12">
    <w:p w:rsidR="00610D85" w:rsidRDefault="00610D85" w:rsidP="00684394">
      <w:pPr>
        <w:pStyle w:val="FootnoteText"/>
      </w:pPr>
      <w:r>
        <w:rPr>
          <w:rStyle w:val="FootnoteReference"/>
        </w:rPr>
        <w:footnoteRef/>
      </w:r>
      <w:r>
        <w:t xml:space="preserve"> </w:t>
      </w:r>
      <w:r w:rsidRPr="00684394">
        <w:t>Plascon-Evans Paints (TVL) Ltd. v Van Riebeck Paints (Pty) Ltd. (53/84) [1984] ZASCA 51; [1984] 2 All SA 366 (A); 1984 (3) SA 623; 1984 (3) SA 620 (21 May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EAB"/>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19F5551"/>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2257A"/>
    <w:multiLevelType w:val="multilevel"/>
    <w:tmpl w:val="2C785AD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nsid w:val="024D7D6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4294852"/>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43B7105"/>
    <w:multiLevelType w:val="multilevel"/>
    <w:tmpl w:val="14C409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7921C9A"/>
    <w:multiLevelType w:val="multilevel"/>
    <w:tmpl w:val="970E700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680" w:hanging="34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850209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8530A71"/>
    <w:multiLevelType w:val="multilevel"/>
    <w:tmpl w:val="894220A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2098" w:hanging="1758"/>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99556C3"/>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BEC7ECE"/>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C537C62"/>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EA334D5"/>
    <w:multiLevelType w:val="hybridMultilevel"/>
    <w:tmpl w:val="FB82438E"/>
    <w:lvl w:ilvl="0" w:tplc="6EBEF21C">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0FB70C35"/>
    <w:multiLevelType w:val="multilevel"/>
    <w:tmpl w:val="765C420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397"/>
        </w:tabs>
        <w:ind w:left="680" w:hanging="34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58532B6"/>
    <w:multiLevelType w:val="multilevel"/>
    <w:tmpl w:val="FD7648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A9031A7"/>
    <w:multiLevelType w:val="multilevel"/>
    <w:tmpl w:val="14C409F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nsid w:val="1B111054"/>
    <w:multiLevelType w:val="multilevel"/>
    <w:tmpl w:val="854C3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792C48"/>
    <w:multiLevelType w:val="multilevel"/>
    <w:tmpl w:val="E146E2DC"/>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E2C2E9B"/>
    <w:multiLevelType w:val="multilevel"/>
    <w:tmpl w:val="0542129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510" w:hanging="51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7EC3BBA"/>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DD74A98"/>
    <w:multiLevelType w:val="hybridMultilevel"/>
    <w:tmpl w:val="BF12B9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2E430F75"/>
    <w:multiLevelType w:val="hybridMultilevel"/>
    <w:tmpl w:val="6CF0C06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22">
    <w:nsid w:val="36A62F2A"/>
    <w:multiLevelType w:val="multilevel"/>
    <w:tmpl w:val="2266ED0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510" w:hanging="17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8A67527"/>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A71331C"/>
    <w:multiLevelType w:val="multilevel"/>
    <w:tmpl w:val="14C409F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nsid w:val="3C153C08"/>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85B0B2E"/>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DCE1F77"/>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19877DF"/>
    <w:multiLevelType w:val="hybridMultilevel"/>
    <w:tmpl w:val="FD7648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0916C8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8747EFF"/>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6C7B005F"/>
    <w:multiLevelType w:val="hybridMultilevel"/>
    <w:tmpl w:val="CA2E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71206"/>
    <w:multiLevelType w:val="multilevel"/>
    <w:tmpl w:val="C2501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5227D49"/>
    <w:multiLevelType w:val="hybridMultilevel"/>
    <w:tmpl w:val="6D80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71FF2"/>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AB94C07"/>
    <w:multiLevelType w:val="hybridMultilevel"/>
    <w:tmpl w:val="D82C9DC2"/>
    <w:lvl w:ilvl="0" w:tplc="6EBEF21C">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6">
    <w:nsid w:val="7B041B7F"/>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E7266F"/>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C440F4C"/>
    <w:multiLevelType w:val="multilevel"/>
    <w:tmpl w:val="85D6F7D4"/>
    <w:lvl w:ilvl="0">
      <w:start w:val="1"/>
      <w:numFmt w:val="decimal"/>
      <w:lvlText w:val="%1."/>
      <w:lvlJc w:val="left"/>
      <w:pPr>
        <w:tabs>
          <w:tab w:val="num" w:pos="0"/>
        </w:tabs>
        <w:ind w:left="360" w:hanging="360"/>
      </w:pPr>
      <w:rPr>
        <w:rFonts w:hint="default"/>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D96276A"/>
    <w:multiLevelType w:val="multilevel"/>
    <w:tmpl w:val="190A0288"/>
    <w:lvl w:ilvl="0">
      <w:start w:val="1"/>
      <w:numFmt w:val="decimal"/>
      <w:lvlText w:val="%1."/>
      <w:lvlJc w:val="left"/>
      <w:pPr>
        <w:tabs>
          <w:tab w:val="num" w:pos="0"/>
        </w:tabs>
        <w:ind w:left="360" w:hanging="360"/>
      </w:pPr>
      <w:rPr>
        <w:rFonts w:hint="default"/>
        <w:b w:val="0"/>
        <w:bCs w:val="0"/>
        <w:color w:val="auto"/>
      </w:rPr>
    </w:lvl>
    <w:lvl w:ilvl="1">
      <w:start w:val="1"/>
      <w:numFmt w:val="decimal"/>
      <w:lvlText w:val="%1.%2."/>
      <w:lvlJc w:val="center"/>
      <w:pPr>
        <w:tabs>
          <w:tab w:val="num" w:pos="397"/>
        </w:tabs>
        <w:ind w:left="680" w:hanging="283"/>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FE0035D"/>
    <w:multiLevelType w:val="multilevel"/>
    <w:tmpl w:val="E146E2DC"/>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0"/>
  </w:num>
  <w:num w:numId="2">
    <w:abstractNumId w:val="32"/>
  </w:num>
  <w:num w:numId="3">
    <w:abstractNumId w:val="3"/>
  </w:num>
  <w:num w:numId="4">
    <w:abstractNumId w:val="16"/>
  </w:num>
  <w:num w:numId="5">
    <w:abstractNumId w:val="28"/>
  </w:num>
  <w:num w:numId="6">
    <w:abstractNumId w:val="29"/>
  </w:num>
  <w:num w:numId="7">
    <w:abstractNumId w:val="7"/>
  </w:num>
  <w:num w:numId="8">
    <w:abstractNumId w:val="30"/>
  </w:num>
  <w:num w:numId="9">
    <w:abstractNumId w:val="14"/>
  </w:num>
  <w:num w:numId="10">
    <w:abstractNumId w:val="24"/>
  </w:num>
  <w:num w:numId="11">
    <w:abstractNumId w:val="15"/>
  </w:num>
  <w:num w:numId="12">
    <w:abstractNumId w:val="2"/>
  </w:num>
  <w:num w:numId="13">
    <w:abstractNumId w:val="35"/>
  </w:num>
  <w:num w:numId="14">
    <w:abstractNumId w:val="12"/>
  </w:num>
  <w:num w:numId="15">
    <w:abstractNumId w:val="5"/>
  </w:num>
  <w:num w:numId="16">
    <w:abstractNumId w:val="18"/>
  </w:num>
  <w:num w:numId="17">
    <w:abstractNumId w:val="8"/>
  </w:num>
  <w:num w:numId="18">
    <w:abstractNumId w:val="22"/>
  </w:num>
  <w:num w:numId="19">
    <w:abstractNumId w:val="17"/>
  </w:num>
  <w:num w:numId="20">
    <w:abstractNumId w:val="6"/>
  </w:num>
  <w:num w:numId="21">
    <w:abstractNumId w:val="13"/>
  </w:num>
  <w:num w:numId="22">
    <w:abstractNumId w:val="0"/>
  </w:num>
  <w:num w:numId="23">
    <w:abstractNumId w:val="21"/>
  </w:num>
  <w:num w:numId="24">
    <w:abstractNumId w:val="11"/>
  </w:num>
  <w:num w:numId="25">
    <w:abstractNumId w:val="4"/>
  </w:num>
  <w:num w:numId="26">
    <w:abstractNumId w:val="1"/>
  </w:num>
  <w:num w:numId="27">
    <w:abstractNumId w:val="10"/>
  </w:num>
  <w:num w:numId="28">
    <w:abstractNumId w:val="19"/>
  </w:num>
  <w:num w:numId="29">
    <w:abstractNumId w:val="9"/>
  </w:num>
  <w:num w:numId="30">
    <w:abstractNumId w:val="38"/>
  </w:num>
  <w:num w:numId="31">
    <w:abstractNumId w:val="20"/>
  </w:num>
  <w:num w:numId="32">
    <w:abstractNumId w:val="26"/>
  </w:num>
  <w:num w:numId="33">
    <w:abstractNumId w:val="36"/>
  </w:num>
  <w:num w:numId="34">
    <w:abstractNumId w:val="34"/>
  </w:num>
  <w:num w:numId="35">
    <w:abstractNumId w:val="37"/>
  </w:num>
  <w:num w:numId="36">
    <w:abstractNumId w:val="23"/>
  </w:num>
  <w:num w:numId="37">
    <w:abstractNumId w:val="27"/>
  </w:num>
  <w:num w:numId="38">
    <w:abstractNumId w:val="39"/>
  </w:num>
  <w:num w:numId="39">
    <w:abstractNumId w:val="25"/>
  </w:num>
  <w:num w:numId="40">
    <w:abstractNumId w:val="3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E6"/>
    <w:rsid w:val="00011FF2"/>
    <w:rsid w:val="0002093D"/>
    <w:rsid w:val="000353D4"/>
    <w:rsid w:val="000423F7"/>
    <w:rsid w:val="000C01F4"/>
    <w:rsid w:val="000E3C92"/>
    <w:rsid w:val="00100F47"/>
    <w:rsid w:val="00117B2B"/>
    <w:rsid w:val="0014555C"/>
    <w:rsid w:val="0015794B"/>
    <w:rsid w:val="001D4A18"/>
    <w:rsid w:val="001E3A27"/>
    <w:rsid w:val="001F2756"/>
    <w:rsid w:val="002540BD"/>
    <w:rsid w:val="0028060D"/>
    <w:rsid w:val="002C1FF5"/>
    <w:rsid w:val="002E34FD"/>
    <w:rsid w:val="00303F90"/>
    <w:rsid w:val="003042D0"/>
    <w:rsid w:val="00323F41"/>
    <w:rsid w:val="00325CE3"/>
    <w:rsid w:val="0039753C"/>
    <w:rsid w:val="003A7EE1"/>
    <w:rsid w:val="003C0EE6"/>
    <w:rsid w:val="003C4D5F"/>
    <w:rsid w:val="003E239F"/>
    <w:rsid w:val="00401D1F"/>
    <w:rsid w:val="00407561"/>
    <w:rsid w:val="00436A46"/>
    <w:rsid w:val="004C3AA9"/>
    <w:rsid w:val="004C51C0"/>
    <w:rsid w:val="004E21B7"/>
    <w:rsid w:val="004F5CF0"/>
    <w:rsid w:val="00585574"/>
    <w:rsid w:val="00587917"/>
    <w:rsid w:val="0059012B"/>
    <w:rsid w:val="005A4523"/>
    <w:rsid w:val="005E6A30"/>
    <w:rsid w:val="005F57D7"/>
    <w:rsid w:val="006075F0"/>
    <w:rsid w:val="00610D85"/>
    <w:rsid w:val="00652B9E"/>
    <w:rsid w:val="00684394"/>
    <w:rsid w:val="006A06D8"/>
    <w:rsid w:val="006B3C0A"/>
    <w:rsid w:val="006B74F1"/>
    <w:rsid w:val="006D6564"/>
    <w:rsid w:val="006E6E11"/>
    <w:rsid w:val="00726834"/>
    <w:rsid w:val="0075036C"/>
    <w:rsid w:val="00752ABE"/>
    <w:rsid w:val="007617C1"/>
    <w:rsid w:val="00781AE1"/>
    <w:rsid w:val="00786453"/>
    <w:rsid w:val="00793FE8"/>
    <w:rsid w:val="007B608F"/>
    <w:rsid w:val="007C17F8"/>
    <w:rsid w:val="007C33B3"/>
    <w:rsid w:val="0080648F"/>
    <w:rsid w:val="00841AB6"/>
    <w:rsid w:val="00860BE5"/>
    <w:rsid w:val="00864822"/>
    <w:rsid w:val="008A3E0D"/>
    <w:rsid w:val="00903733"/>
    <w:rsid w:val="009735AB"/>
    <w:rsid w:val="009800B4"/>
    <w:rsid w:val="00986F33"/>
    <w:rsid w:val="009A4A02"/>
    <w:rsid w:val="009D077D"/>
    <w:rsid w:val="00A362F5"/>
    <w:rsid w:val="00AA5F3D"/>
    <w:rsid w:val="00AD2606"/>
    <w:rsid w:val="00AE5463"/>
    <w:rsid w:val="00AE6E67"/>
    <w:rsid w:val="00AF534D"/>
    <w:rsid w:val="00B01D43"/>
    <w:rsid w:val="00B20297"/>
    <w:rsid w:val="00B34492"/>
    <w:rsid w:val="00B65569"/>
    <w:rsid w:val="00B83A1F"/>
    <w:rsid w:val="00B96C26"/>
    <w:rsid w:val="00BA097D"/>
    <w:rsid w:val="00BB6AF9"/>
    <w:rsid w:val="00BB7FBD"/>
    <w:rsid w:val="00C0649E"/>
    <w:rsid w:val="00C1138B"/>
    <w:rsid w:val="00C1779A"/>
    <w:rsid w:val="00C67343"/>
    <w:rsid w:val="00CC4925"/>
    <w:rsid w:val="00CD4CD5"/>
    <w:rsid w:val="00CF5869"/>
    <w:rsid w:val="00D84BE4"/>
    <w:rsid w:val="00D9262F"/>
    <w:rsid w:val="00DC6D12"/>
    <w:rsid w:val="00EE4EDA"/>
    <w:rsid w:val="00F259F6"/>
    <w:rsid w:val="00FF15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99D903-B69B-4628-9A66-6CAA5AC2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uiPriority="0"/>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93FE8"/>
    <w:rPr>
      <w:sz w:val="20"/>
      <w:szCs w:val="20"/>
    </w:rPr>
  </w:style>
  <w:style w:type="character" w:customStyle="1" w:styleId="FootnoteTextChar">
    <w:name w:val="Footnote Text Char"/>
    <w:basedOn w:val="DefaultParagraphFont"/>
    <w:link w:val="FootnoteText"/>
    <w:uiPriority w:val="99"/>
    <w:semiHidden/>
    <w:locked/>
    <w:rsid w:val="006D6564"/>
    <w:rPr>
      <w:lang w:val="en-GB" w:eastAsia="en-GB"/>
    </w:rPr>
  </w:style>
  <w:style w:type="character" w:styleId="FootnoteReference">
    <w:name w:val="footnote reference"/>
    <w:basedOn w:val="DefaultParagraphFont"/>
    <w:uiPriority w:val="99"/>
    <w:semiHidden/>
    <w:rsid w:val="00793FE8"/>
    <w:rPr>
      <w:vertAlign w:val="superscript"/>
    </w:rPr>
  </w:style>
  <w:style w:type="paragraph" w:customStyle="1" w:styleId="Parties">
    <w:name w:val="Parties"/>
    <w:basedOn w:val="Normal"/>
    <w:uiPriority w:val="99"/>
    <w:rsid w:val="00B96C26"/>
    <w:pPr>
      <w:tabs>
        <w:tab w:val="right" w:pos="9072"/>
      </w:tabs>
      <w:suppressAutoHyphens/>
      <w:jc w:val="both"/>
    </w:pPr>
    <w:rPr>
      <w:rFonts w:ascii="Arial" w:hAnsi="Arial" w:cs="Arial"/>
      <w:lang w:val="en-ZA" w:eastAsia="en-US"/>
    </w:rPr>
  </w:style>
  <w:style w:type="table" w:styleId="TableGrid">
    <w:name w:val="Table Grid"/>
    <w:basedOn w:val="TableNormal"/>
    <w:uiPriority w:val="99"/>
    <w:rsid w:val="00B96C2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2ABE"/>
    <w:pPr>
      <w:ind w:left="720"/>
    </w:pPr>
  </w:style>
  <w:style w:type="paragraph" w:styleId="Footer">
    <w:name w:val="footer"/>
    <w:basedOn w:val="Normal"/>
    <w:link w:val="FooterChar"/>
    <w:uiPriority w:val="99"/>
    <w:locked/>
    <w:rsid w:val="006B3C0A"/>
    <w:pPr>
      <w:tabs>
        <w:tab w:val="center" w:pos="4153"/>
        <w:tab w:val="right" w:pos="8306"/>
      </w:tabs>
    </w:pPr>
  </w:style>
  <w:style w:type="character" w:customStyle="1" w:styleId="FooterChar">
    <w:name w:val="Footer Char"/>
    <w:basedOn w:val="DefaultParagraphFont"/>
    <w:link w:val="Footer"/>
    <w:uiPriority w:val="99"/>
    <w:semiHidden/>
    <w:rsid w:val="004307A7"/>
    <w:rPr>
      <w:sz w:val="24"/>
      <w:szCs w:val="24"/>
      <w:lang w:val="en-GB" w:eastAsia="en-GB"/>
    </w:rPr>
  </w:style>
  <w:style w:type="character" w:styleId="PageNumber">
    <w:name w:val="page number"/>
    <w:basedOn w:val="DefaultParagraphFont"/>
    <w:uiPriority w:val="99"/>
    <w:locked/>
    <w:rsid w:val="006B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78001">
      <w:marLeft w:val="0"/>
      <w:marRight w:val="0"/>
      <w:marTop w:val="0"/>
      <w:marBottom w:val="0"/>
      <w:divBdr>
        <w:top w:val="none" w:sz="0" w:space="0" w:color="auto"/>
        <w:left w:val="none" w:sz="0" w:space="0" w:color="auto"/>
        <w:bottom w:val="none" w:sz="0" w:space="0" w:color="auto"/>
        <w:right w:val="none" w:sz="0" w:space="0" w:color="auto"/>
      </w:divBdr>
    </w:div>
    <w:div w:id="811678002">
      <w:marLeft w:val="0"/>
      <w:marRight w:val="0"/>
      <w:marTop w:val="0"/>
      <w:marBottom w:val="0"/>
      <w:divBdr>
        <w:top w:val="none" w:sz="0" w:space="0" w:color="auto"/>
        <w:left w:val="none" w:sz="0" w:space="0" w:color="auto"/>
        <w:bottom w:val="none" w:sz="0" w:space="0" w:color="auto"/>
        <w:right w:val="none" w:sz="0" w:space="0" w:color="auto"/>
      </w:divBdr>
    </w:div>
    <w:div w:id="811678003">
      <w:marLeft w:val="0"/>
      <w:marRight w:val="0"/>
      <w:marTop w:val="0"/>
      <w:marBottom w:val="0"/>
      <w:divBdr>
        <w:top w:val="none" w:sz="0" w:space="0" w:color="auto"/>
        <w:left w:val="none" w:sz="0" w:space="0" w:color="auto"/>
        <w:bottom w:val="none" w:sz="0" w:space="0" w:color="auto"/>
        <w:right w:val="none" w:sz="0" w:space="0" w:color="auto"/>
      </w:divBdr>
    </w:div>
    <w:div w:id="811678004">
      <w:marLeft w:val="0"/>
      <w:marRight w:val="0"/>
      <w:marTop w:val="0"/>
      <w:marBottom w:val="0"/>
      <w:divBdr>
        <w:top w:val="none" w:sz="0" w:space="0" w:color="auto"/>
        <w:left w:val="none" w:sz="0" w:space="0" w:color="auto"/>
        <w:bottom w:val="none" w:sz="0" w:space="0" w:color="auto"/>
        <w:right w:val="none" w:sz="0" w:space="0" w:color="auto"/>
      </w:divBdr>
    </w:div>
    <w:div w:id="811678005">
      <w:marLeft w:val="0"/>
      <w:marRight w:val="0"/>
      <w:marTop w:val="0"/>
      <w:marBottom w:val="0"/>
      <w:divBdr>
        <w:top w:val="none" w:sz="0" w:space="0" w:color="auto"/>
        <w:left w:val="none" w:sz="0" w:space="0" w:color="auto"/>
        <w:bottom w:val="none" w:sz="0" w:space="0" w:color="auto"/>
        <w:right w:val="none" w:sz="0" w:space="0" w:color="auto"/>
      </w:divBdr>
    </w:div>
    <w:div w:id="811678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Malebo Matome</dc:creator>
  <cp:lastModifiedBy>Lazarus</cp:lastModifiedBy>
  <cp:revision>3</cp:revision>
  <dcterms:created xsi:type="dcterms:W3CDTF">2016-12-13T06:41:00Z</dcterms:created>
  <dcterms:modified xsi:type="dcterms:W3CDTF">2016-12-13T07:27:00Z</dcterms:modified>
</cp:coreProperties>
</file>